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2.odttf" ContentType="application/vnd.openxmlformats-officedocument.obfuscatedFont"/>
  <Override PartName="/word/fonts/font23.odttf" ContentType="application/vnd.openxmlformats-officedocument.obfuscatedFont"/>
  <Override PartName="/word/fonts/font24.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00" w:lineRule="atLeast"/>
        <w:jc w:val="center"/>
        <w:rPr>
          <w:rFonts w:ascii="黑体" w:hAnsi="黑体" w:eastAsia="黑体" w:cs="黑体"/>
          <w:b/>
          <w:bCs/>
          <w:sz w:val="36"/>
          <w:szCs w:val="36"/>
        </w:rPr>
      </w:pPr>
      <w:r>
        <w:rPr>
          <w:rFonts w:hint="eastAsia" w:ascii="黑体" w:hAnsi="黑体" w:eastAsia="黑体" w:cs="黑体"/>
          <w:b/>
          <w:bCs/>
          <w:sz w:val="36"/>
          <w:szCs w:val="36"/>
        </w:rPr>
        <w:t>长三角地区汽车运动产业发展规划（2020</w:t>
      </w:r>
      <w:r>
        <w:rPr>
          <w:rFonts w:hint="eastAsia" w:ascii="黑体" w:hAnsi="黑体" w:eastAsia="黑体" w:cs="黑体"/>
          <w:b/>
          <w:bCs/>
          <w:sz w:val="36"/>
          <w:szCs w:val="36"/>
          <w:lang w:val="en-US" w:eastAsia="zh-CN"/>
        </w:rPr>
        <w:t>-</w:t>
      </w:r>
      <w:r>
        <w:rPr>
          <w:rFonts w:hint="eastAsia" w:ascii="黑体" w:hAnsi="黑体" w:eastAsia="黑体" w:cs="黑体"/>
          <w:b/>
          <w:bCs/>
          <w:sz w:val="36"/>
          <w:szCs w:val="36"/>
        </w:rPr>
        <w:t>2025年）</w:t>
      </w:r>
    </w:p>
    <w:p>
      <w:pPr>
        <w:pageBreakBefore w:val="0"/>
        <w:kinsoku/>
        <w:wordWrap/>
        <w:overflowPunct/>
        <w:topLinePunct w:val="0"/>
        <w:autoSpaceDE w:val="0"/>
        <w:autoSpaceDN w:val="0"/>
        <w:bidi w:val="0"/>
        <w:adjustRightInd w:val="0"/>
        <w:snapToGrid/>
        <w:spacing w:before="312" w:beforeLines="100" w:after="312" w:afterLines="100" w:line="600" w:lineRule="exact"/>
        <w:jc w:val="center"/>
        <w:textAlignment w:val="auto"/>
        <w:rPr>
          <w:rFonts w:ascii="宋体" w:hAnsi="宋体" w:cs="宋体"/>
          <w:b/>
          <w:bCs/>
          <w:sz w:val="32"/>
          <w:szCs w:val="32"/>
        </w:rPr>
      </w:pPr>
      <w:r>
        <w:rPr>
          <w:rFonts w:hint="eastAsia" w:ascii="宋体" w:hAnsi="宋体" w:cs="宋体"/>
          <w:b/>
          <w:bCs/>
          <w:sz w:val="32"/>
          <w:szCs w:val="32"/>
        </w:rPr>
        <w:t>（</w:t>
      </w:r>
      <w:r>
        <w:rPr>
          <w:rFonts w:hint="eastAsia" w:ascii="宋体" w:hAnsi="宋体" w:cs="宋体"/>
          <w:b/>
          <w:bCs/>
          <w:sz w:val="32"/>
          <w:szCs w:val="32"/>
          <w:lang w:eastAsia="zh-CN"/>
        </w:rPr>
        <w:t>征求意见稿</w:t>
      </w:r>
      <w:bookmarkStart w:id="0" w:name="_GoBack"/>
      <w:bookmarkEnd w:id="0"/>
      <w:r>
        <w:rPr>
          <w:rFonts w:hint="eastAsia" w:ascii="宋体" w:hAnsi="宋体" w:cs="宋体"/>
          <w:b/>
          <w:bCs/>
          <w:sz w:val="32"/>
          <w:szCs w:val="32"/>
        </w:rPr>
        <w:t>）</w:t>
      </w:r>
    </w:p>
    <w:p>
      <w:pPr>
        <w:pageBreakBefore w:val="0"/>
        <w:kinsoku/>
        <w:wordWrap/>
        <w:overflowPunct/>
        <w:topLinePunct w:val="0"/>
        <w:autoSpaceDE w:val="0"/>
        <w:autoSpaceDN w:val="0"/>
        <w:bidi w:val="0"/>
        <w:adjustRightInd w:val="0"/>
        <w:snapToGrid/>
        <w:spacing w:line="600" w:lineRule="exact"/>
        <w:jc w:val="left"/>
        <w:textAlignment w:val="auto"/>
        <w:rPr>
          <w:rFonts w:asciiTheme="minorEastAsia" w:hAnsiTheme="minorEastAsia" w:eastAsiaTheme="minorEastAsia"/>
          <w:sz w:val="28"/>
          <w:szCs w:val="28"/>
        </w:rPr>
      </w:pPr>
      <w:r>
        <w:rPr>
          <w:rFonts w:hint="eastAsia" w:ascii="宋体" w:hAnsi="宋体" w:cs="宋体"/>
          <w:b/>
          <w:bCs/>
          <w:sz w:val="32"/>
          <w:szCs w:val="32"/>
        </w:rPr>
        <w:t xml:space="preserve">    </w:t>
      </w:r>
      <w:r>
        <w:rPr>
          <w:rFonts w:hint="eastAsia" w:cs="FZFSK--GBK1-0" w:asciiTheme="minorEastAsia" w:hAnsiTheme="minorEastAsia" w:eastAsiaTheme="minorEastAsia"/>
          <w:kern w:val="0"/>
          <w:sz w:val="28"/>
          <w:szCs w:val="28"/>
        </w:rPr>
        <w:t>汽车运动产业是体育产业的重要组成部分，加快发展汽车运动产业是激发健身休闲产业发展活力、带动产业提质增效的强劲动力，对释放消费潜力、打造经济增长新动能、建设地区健康经济都具有十分重要的意义。为深入贯彻</w:t>
      </w:r>
      <w:r>
        <w:rPr>
          <w:rFonts w:ascii="Arial" w:hAnsi="Arial" w:cs="Arial"/>
          <w:kern w:val="0"/>
          <w:sz w:val="28"/>
          <w:szCs w:val="28"/>
        </w:rPr>
        <w:t>《</w:t>
      </w:r>
      <w:r>
        <w:fldChar w:fldCharType="begin"/>
      </w:r>
      <w:r>
        <w:instrText xml:space="preserve"> HYPERLINK "https://baike.so.com/doc/28831124-30294431.html" \t "_blank" </w:instrText>
      </w:r>
      <w:r>
        <w:fldChar w:fldCharType="separate"/>
      </w:r>
      <w:r>
        <w:rPr>
          <w:rFonts w:ascii="Arial" w:hAnsi="Arial" w:cs="Arial"/>
          <w:kern w:val="0"/>
          <w:sz w:val="28"/>
          <w:szCs w:val="28"/>
        </w:rPr>
        <w:t>长江三角洲区域一体化发展规划纲要</w:t>
      </w:r>
      <w:r>
        <w:rPr>
          <w:rFonts w:ascii="Arial" w:hAnsi="Arial" w:cs="Arial"/>
          <w:kern w:val="0"/>
          <w:sz w:val="28"/>
          <w:szCs w:val="28"/>
        </w:rPr>
        <w:fldChar w:fldCharType="end"/>
      </w:r>
      <w:r>
        <w:rPr>
          <w:rFonts w:ascii="Arial" w:hAnsi="Arial" w:cs="Arial"/>
          <w:kern w:val="0"/>
          <w:sz w:val="28"/>
          <w:szCs w:val="28"/>
        </w:rPr>
        <w:t>》</w:t>
      </w:r>
      <w:r>
        <w:rPr>
          <w:rFonts w:hint="eastAsia" w:cs="仿宋" w:asciiTheme="minorEastAsia" w:hAnsiTheme="minorEastAsia" w:eastAsiaTheme="minorEastAsia"/>
          <w:sz w:val="28"/>
          <w:szCs w:val="28"/>
        </w:rPr>
        <w:t>等文件精神</w:t>
      </w:r>
      <w:r>
        <w:rPr>
          <w:rFonts w:hint="eastAsia" w:cs="FZFSK--GBK1-0" w:asciiTheme="minorEastAsia" w:hAnsiTheme="minorEastAsia" w:eastAsiaTheme="minorEastAsia"/>
          <w:kern w:val="0"/>
          <w:sz w:val="28"/>
          <w:szCs w:val="28"/>
        </w:rPr>
        <w:t>，切实推进《长江三角洲汽车运动产业</w:t>
      </w:r>
      <w:r>
        <w:rPr>
          <w:rFonts w:cs="FZFSK--GBK1-0" w:asciiTheme="minorEastAsia" w:hAnsiTheme="minorEastAsia" w:eastAsiaTheme="minorEastAsia"/>
          <w:kern w:val="0"/>
          <w:sz w:val="28"/>
          <w:szCs w:val="28"/>
        </w:rPr>
        <w:t>一体化</w:t>
      </w:r>
      <w:r>
        <w:rPr>
          <w:rFonts w:hint="eastAsia" w:cs="华文中宋" w:asciiTheme="minorEastAsia" w:hAnsiTheme="minorEastAsia" w:eastAsiaTheme="minorEastAsia"/>
          <w:sz w:val="28"/>
          <w:szCs w:val="28"/>
        </w:rPr>
        <w:t>发展战略合作</w:t>
      </w:r>
      <w:r>
        <w:rPr>
          <w:rFonts w:cs="FZFSK--GBK1-0" w:asciiTheme="minorEastAsia" w:hAnsiTheme="minorEastAsia" w:eastAsiaTheme="minorEastAsia"/>
          <w:kern w:val="0"/>
          <w:sz w:val="28"/>
          <w:szCs w:val="28"/>
        </w:rPr>
        <w:t>框架协议</w:t>
      </w:r>
      <w:r>
        <w:rPr>
          <w:rFonts w:hint="eastAsia" w:cs="FZFSK--GBK1-0" w:asciiTheme="minorEastAsia" w:hAnsiTheme="minorEastAsia" w:eastAsiaTheme="minorEastAsia"/>
          <w:kern w:val="0"/>
          <w:sz w:val="28"/>
          <w:szCs w:val="28"/>
        </w:rPr>
        <w:t>》落地</w:t>
      </w:r>
      <w:r>
        <w:rPr>
          <w:rFonts w:cs="FZFSK--GBK1-0" w:asciiTheme="minorEastAsia" w:hAnsiTheme="minorEastAsia" w:eastAsiaTheme="minorEastAsia"/>
          <w:kern w:val="0"/>
          <w:sz w:val="28"/>
          <w:szCs w:val="28"/>
        </w:rPr>
        <w:t>，推</w:t>
      </w:r>
      <w:r>
        <w:rPr>
          <w:rFonts w:hint="eastAsia" w:cs="FZFSK--GBK1-0" w:asciiTheme="minorEastAsia" w:hAnsiTheme="minorEastAsia" w:eastAsiaTheme="minorEastAsia"/>
          <w:kern w:val="0"/>
          <w:sz w:val="28"/>
          <w:szCs w:val="28"/>
        </w:rPr>
        <w:t>动</w:t>
      </w:r>
      <w:r>
        <w:rPr>
          <w:rFonts w:cs="FZFSK--GBK1-0" w:asciiTheme="minorEastAsia" w:hAnsiTheme="minorEastAsia" w:eastAsiaTheme="minorEastAsia"/>
          <w:kern w:val="0"/>
          <w:sz w:val="28"/>
          <w:szCs w:val="28"/>
        </w:rPr>
        <w:t>汽车运动产业高质量发展</w:t>
      </w:r>
      <w:r>
        <w:rPr>
          <w:rFonts w:hint="eastAsia" w:cs="FZFSK--GBK1-0" w:asciiTheme="minorEastAsia" w:hAnsiTheme="minorEastAsia" w:eastAsiaTheme="minorEastAsia"/>
          <w:kern w:val="0"/>
          <w:sz w:val="28"/>
          <w:szCs w:val="28"/>
        </w:rPr>
        <w:t>，更好地满足区域消费</w:t>
      </w:r>
      <w:r>
        <w:rPr>
          <w:rFonts w:cs="FZFSK--GBK1-0" w:asciiTheme="minorEastAsia" w:hAnsiTheme="minorEastAsia" w:eastAsiaTheme="minorEastAsia"/>
          <w:kern w:val="0"/>
          <w:sz w:val="28"/>
          <w:szCs w:val="28"/>
        </w:rPr>
        <w:t>需求、</w:t>
      </w:r>
      <w:r>
        <w:rPr>
          <w:rFonts w:hint="eastAsia" w:cs="FZFSK--GBK1-0" w:asciiTheme="minorEastAsia" w:hAnsiTheme="minorEastAsia" w:eastAsiaTheme="minorEastAsia"/>
          <w:kern w:val="0"/>
          <w:sz w:val="28"/>
          <w:szCs w:val="28"/>
        </w:rPr>
        <w:t>深化全方位合作</w:t>
      </w:r>
      <w:r>
        <w:rPr>
          <w:rFonts w:cs="FZFSK--GBK1-0" w:asciiTheme="minorEastAsia" w:hAnsiTheme="minorEastAsia" w:eastAsiaTheme="minorEastAsia"/>
          <w:kern w:val="0"/>
          <w:sz w:val="28"/>
          <w:szCs w:val="28"/>
        </w:rPr>
        <w:t>，</w:t>
      </w:r>
      <w:r>
        <w:rPr>
          <w:rFonts w:hint="eastAsia" w:cs="FZFSK--GBK1-0" w:asciiTheme="minorEastAsia" w:hAnsiTheme="minorEastAsia" w:eastAsiaTheme="minorEastAsia"/>
          <w:kern w:val="0"/>
          <w:sz w:val="28"/>
          <w:szCs w:val="28"/>
        </w:rPr>
        <w:t>特制定本规划。</w:t>
      </w:r>
    </w:p>
    <w:p>
      <w:pPr>
        <w:pageBreakBefore w:val="0"/>
        <w:numPr>
          <w:ilvl w:val="0"/>
          <w:numId w:val="1"/>
        </w:numPr>
        <w:kinsoku/>
        <w:wordWrap/>
        <w:overflowPunct/>
        <w:topLinePunct w:val="0"/>
        <w:bidi w:val="0"/>
        <w:snapToGrid/>
        <w:spacing w:before="156" w:beforeLines="50" w:after="156" w:afterLines="50" w:line="600" w:lineRule="exact"/>
        <w:ind w:firstLine="562" w:firstLineChars="200"/>
        <w:textAlignment w:val="auto"/>
        <w:rPr>
          <w:rFonts w:ascii="黑体" w:hAnsi="黑体" w:eastAsia="黑体" w:cs="黑体"/>
          <w:b/>
          <w:bCs/>
          <w:sz w:val="28"/>
          <w:szCs w:val="28"/>
        </w:rPr>
      </w:pPr>
      <w:r>
        <w:rPr>
          <w:rFonts w:hint="eastAsia" w:ascii="黑体" w:hAnsi="黑体" w:eastAsia="黑体" w:cs="黑体"/>
          <w:b/>
          <w:bCs/>
          <w:sz w:val="28"/>
          <w:szCs w:val="28"/>
        </w:rPr>
        <w:t>发展基础与面临形势</w:t>
      </w:r>
    </w:p>
    <w:p>
      <w:pPr>
        <w:pageBreakBefore w:val="0"/>
        <w:kinsoku/>
        <w:wordWrap/>
        <w:overflowPunct/>
        <w:topLinePunct w:val="0"/>
        <w:bidi w:val="0"/>
        <w:snapToGrid/>
        <w:spacing w:line="600" w:lineRule="exact"/>
        <w:ind w:firstLine="560" w:firstLineChars="200"/>
        <w:textAlignment w:val="auto"/>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汽车运动产业发端于欧洲，在世界发达国家已普遍开展，逐步形成了以汽车运动赛事活动为龙头、自驾休闲运动为主旋律、露营基地建设与体验为载体的多元化产业链，极大的推动了全球户外运动产业的发展。以美国NASCAR（全国运动汽车竞赛）为代表的汽车运动产业蓬勃发展，覆盖全美39个州、加拿大、墨西哥和欧洲的100条大型赛道，近1500场多级别的系列赛，每年吸引现场观众人数超过1.5亿人次，网络观众达到3亿人次，拥有车迷超过7500万。</w:t>
      </w:r>
    </w:p>
    <w:p>
      <w:pPr>
        <w:pStyle w:val="9"/>
        <w:pageBreakBefore w:val="0"/>
        <w:widowControl/>
        <w:kinsoku/>
        <w:wordWrap/>
        <w:overflowPunct/>
        <w:topLinePunct w:val="0"/>
        <w:bidi w:val="0"/>
        <w:snapToGrid/>
        <w:spacing w:beforeAutospacing="0" w:afterAutospacing="0" w:line="600" w:lineRule="exact"/>
        <w:ind w:firstLine="560" w:firstLineChars="200"/>
        <w:textAlignment w:val="auto"/>
        <w:rPr>
          <w:rFonts w:asciiTheme="minorEastAsia" w:hAnsiTheme="minorEastAsia" w:cstheme="minorEastAsia"/>
          <w:color w:val="auto"/>
          <w:sz w:val="28"/>
          <w:szCs w:val="28"/>
        </w:rPr>
      </w:pPr>
      <w:r>
        <w:rPr>
          <w:rFonts w:hint="eastAsia" w:cs="仿宋" w:asciiTheme="minorEastAsia" w:hAnsiTheme="minorEastAsia"/>
          <w:color w:val="auto"/>
          <w:sz w:val="28"/>
          <w:szCs w:val="28"/>
        </w:rPr>
        <w:t>随着经济快速发展和人民群众消费观念的转变，</w:t>
      </w:r>
      <w:r>
        <w:rPr>
          <w:rFonts w:cs="仿宋" w:asciiTheme="minorEastAsia" w:hAnsiTheme="minorEastAsia"/>
          <w:color w:val="auto"/>
          <w:sz w:val="28"/>
          <w:szCs w:val="28"/>
        </w:rPr>
        <w:t>长三角</w:t>
      </w:r>
      <w:r>
        <w:rPr>
          <w:rFonts w:hint="eastAsia" w:cs="仿宋" w:asciiTheme="minorEastAsia" w:hAnsiTheme="minorEastAsia"/>
          <w:color w:val="auto"/>
          <w:sz w:val="28"/>
          <w:szCs w:val="28"/>
        </w:rPr>
        <w:t>地区汽车运动产业得到较快发展，市场主体发展态势良好，区域影响力不断扩大。</w:t>
      </w:r>
      <w:r>
        <w:rPr>
          <w:rFonts w:hint="eastAsia"/>
          <w:color w:val="auto"/>
          <w:sz w:val="28"/>
          <w:szCs w:val="28"/>
        </w:rPr>
        <w:t>一是</w:t>
      </w:r>
      <w:r>
        <w:rPr>
          <w:color w:val="auto"/>
          <w:sz w:val="28"/>
          <w:szCs w:val="28"/>
        </w:rPr>
        <w:t>产业</w:t>
      </w:r>
      <w:r>
        <w:rPr>
          <w:rFonts w:hint="eastAsia"/>
          <w:color w:val="auto"/>
          <w:sz w:val="28"/>
          <w:szCs w:val="28"/>
        </w:rPr>
        <w:t>基础雄厚</w:t>
      </w:r>
      <w:r>
        <w:rPr>
          <w:rFonts w:ascii="Times New Roman"/>
          <w:color w:val="auto"/>
          <w:sz w:val="28"/>
          <w:szCs w:val="28"/>
        </w:rPr>
        <w:t>。</w:t>
      </w:r>
      <w:r>
        <w:rPr>
          <w:rFonts w:hint="eastAsia" w:ascii="Times New Roman"/>
          <w:color w:val="auto"/>
          <w:sz w:val="28"/>
          <w:szCs w:val="28"/>
        </w:rPr>
        <w:t>长三角地区</w:t>
      </w:r>
      <w:r>
        <w:rPr>
          <w:rFonts w:ascii="Times New Roman"/>
          <w:color w:val="auto"/>
          <w:sz w:val="28"/>
          <w:szCs w:val="28"/>
        </w:rPr>
        <w:t>汽车产业</w:t>
      </w:r>
      <w:r>
        <w:rPr>
          <w:rFonts w:hint="eastAsia" w:ascii="Times New Roman"/>
          <w:color w:val="auto"/>
          <w:sz w:val="28"/>
          <w:szCs w:val="28"/>
        </w:rPr>
        <w:t>已成为国民经济发展的</w:t>
      </w:r>
      <w:r>
        <w:rPr>
          <w:rFonts w:ascii="Times New Roman"/>
          <w:color w:val="auto"/>
          <w:sz w:val="28"/>
          <w:szCs w:val="28"/>
        </w:rPr>
        <w:t>支柱性产业，规模以上汽车工业企业数达到5734家，占全国3</w:t>
      </w:r>
      <w:r>
        <w:rPr>
          <w:rFonts w:hint="eastAsia" w:ascii="Times New Roman"/>
          <w:color w:val="auto"/>
          <w:sz w:val="28"/>
          <w:szCs w:val="28"/>
        </w:rPr>
        <w:t>6</w:t>
      </w:r>
      <w:r>
        <w:rPr>
          <w:rFonts w:ascii="Times New Roman"/>
          <w:color w:val="auto"/>
          <w:sz w:val="28"/>
          <w:szCs w:val="28"/>
        </w:rPr>
        <w:t>%；主营业务收入</w:t>
      </w:r>
      <w:r>
        <w:rPr>
          <w:rFonts w:hint="eastAsia" w:ascii="Times New Roman"/>
          <w:color w:val="auto"/>
          <w:sz w:val="28"/>
          <w:szCs w:val="28"/>
        </w:rPr>
        <w:t>超过</w:t>
      </w:r>
      <w:r>
        <w:rPr>
          <w:rFonts w:ascii="Times New Roman"/>
          <w:color w:val="auto"/>
          <w:sz w:val="28"/>
          <w:szCs w:val="28"/>
        </w:rPr>
        <w:t>2</w:t>
      </w:r>
      <w:r>
        <w:rPr>
          <w:rFonts w:hint="eastAsia" w:ascii="Times New Roman"/>
          <w:color w:val="auto"/>
          <w:sz w:val="28"/>
          <w:szCs w:val="28"/>
        </w:rPr>
        <w:t>万</w:t>
      </w:r>
      <w:r>
        <w:rPr>
          <w:rFonts w:ascii="Times New Roman"/>
          <w:color w:val="auto"/>
          <w:sz w:val="28"/>
          <w:szCs w:val="28"/>
        </w:rPr>
        <w:t>亿元</w:t>
      </w:r>
      <w:r>
        <w:rPr>
          <w:rFonts w:hint="eastAsia" w:ascii="Times New Roman"/>
          <w:color w:val="auto"/>
          <w:sz w:val="28"/>
          <w:szCs w:val="28"/>
          <w:lang w:eastAsia="zh-CN"/>
        </w:rPr>
        <w:t>；</w:t>
      </w:r>
      <w:r>
        <w:rPr>
          <w:rFonts w:ascii="Times New Roman" w:hAnsi="Times New Roman"/>
          <w:color w:val="auto"/>
          <w:sz w:val="28"/>
          <w:szCs w:val="28"/>
        </w:rPr>
        <w:t>2018</w:t>
      </w:r>
      <w:r>
        <w:rPr>
          <w:rFonts w:ascii="Times New Roman"/>
          <w:color w:val="auto"/>
          <w:sz w:val="28"/>
          <w:szCs w:val="28"/>
        </w:rPr>
        <w:t>年长三角地区体育产业</w:t>
      </w:r>
      <w:r>
        <w:rPr>
          <w:rFonts w:hint="eastAsia" w:ascii="Times New Roman"/>
          <w:color w:val="auto"/>
          <w:sz w:val="28"/>
          <w:szCs w:val="28"/>
        </w:rPr>
        <w:t>总</w:t>
      </w:r>
      <w:r>
        <w:rPr>
          <w:rFonts w:ascii="Times New Roman"/>
          <w:color w:val="auto"/>
          <w:sz w:val="28"/>
          <w:szCs w:val="28"/>
        </w:rPr>
        <w:t>规模达到</w:t>
      </w:r>
      <w:r>
        <w:rPr>
          <w:rFonts w:ascii="Times New Roman" w:hAnsi="Times New Roman"/>
          <w:color w:val="auto"/>
          <w:sz w:val="28"/>
          <w:szCs w:val="28"/>
        </w:rPr>
        <w:t>8</w:t>
      </w:r>
      <w:r>
        <w:rPr>
          <w:rFonts w:hint="eastAsia" w:ascii="Times New Roman" w:hAnsi="Times New Roman"/>
          <w:color w:val="auto"/>
          <w:sz w:val="28"/>
          <w:szCs w:val="28"/>
        </w:rPr>
        <w:t>852</w:t>
      </w:r>
      <w:r>
        <w:rPr>
          <w:rFonts w:ascii="Times New Roman"/>
          <w:color w:val="auto"/>
          <w:sz w:val="28"/>
          <w:szCs w:val="28"/>
        </w:rPr>
        <w:t>亿元，创造增加值</w:t>
      </w:r>
      <w:r>
        <w:rPr>
          <w:rFonts w:hint="eastAsia" w:ascii="Times New Roman" w:hAnsi="Times New Roman"/>
          <w:color w:val="auto"/>
          <w:sz w:val="28"/>
          <w:szCs w:val="28"/>
        </w:rPr>
        <w:t>3053</w:t>
      </w:r>
      <w:r>
        <w:rPr>
          <w:rFonts w:ascii="Times New Roman"/>
          <w:color w:val="auto"/>
          <w:sz w:val="28"/>
          <w:szCs w:val="28"/>
        </w:rPr>
        <w:t>亿元，占全国的</w:t>
      </w:r>
      <w:r>
        <w:rPr>
          <w:rFonts w:hint="eastAsia" w:ascii="Times New Roman" w:hAnsi="Times New Roman"/>
          <w:color w:val="auto"/>
          <w:sz w:val="28"/>
          <w:szCs w:val="28"/>
        </w:rPr>
        <w:t>30</w:t>
      </w:r>
      <w:r>
        <w:rPr>
          <w:rFonts w:ascii="Times New Roman" w:hAnsi="Times New Roman"/>
          <w:color w:val="auto"/>
          <w:sz w:val="28"/>
          <w:szCs w:val="28"/>
        </w:rPr>
        <w:t>%</w:t>
      </w:r>
      <w:r>
        <w:rPr>
          <w:rFonts w:ascii="Times New Roman"/>
          <w:color w:val="auto"/>
          <w:sz w:val="28"/>
          <w:szCs w:val="28"/>
        </w:rPr>
        <w:t>。二是资源优势明显。目前长三角地区获得汽车自驾运动营地授牌</w:t>
      </w:r>
      <w:r>
        <w:rPr>
          <w:rFonts w:ascii="Times New Roman" w:hAnsi="Times New Roman"/>
          <w:color w:val="auto"/>
          <w:sz w:val="28"/>
          <w:szCs w:val="28"/>
        </w:rPr>
        <w:t>92</w:t>
      </w:r>
      <w:r>
        <w:rPr>
          <w:rFonts w:ascii="Times New Roman"/>
          <w:color w:val="auto"/>
          <w:sz w:val="28"/>
          <w:szCs w:val="28"/>
        </w:rPr>
        <w:t>个，其中星级营地</w:t>
      </w:r>
      <w:r>
        <w:rPr>
          <w:rFonts w:ascii="Times New Roman" w:hAnsi="Times New Roman"/>
          <w:color w:val="auto"/>
          <w:sz w:val="28"/>
          <w:szCs w:val="28"/>
        </w:rPr>
        <w:t>20</w:t>
      </w:r>
      <w:r>
        <w:rPr>
          <w:rFonts w:ascii="Times New Roman"/>
          <w:color w:val="auto"/>
          <w:sz w:val="28"/>
          <w:szCs w:val="28"/>
        </w:rPr>
        <w:t>个，总量位居全国前列</w:t>
      </w:r>
      <w:r>
        <w:rPr>
          <w:rFonts w:ascii="Times New Roman" w:hAnsiTheme="minorEastAsia"/>
          <w:color w:val="auto"/>
          <w:sz w:val="28"/>
          <w:szCs w:val="28"/>
        </w:rPr>
        <w:t>。</w:t>
      </w:r>
      <w:r>
        <w:rPr>
          <w:rFonts w:hint="eastAsia" w:ascii="Times New Roman"/>
          <w:color w:val="auto"/>
          <w:sz w:val="28"/>
          <w:szCs w:val="28"/>
        </w:rPr>
        <w:t>举办</w:t>
      </w:r>
      <w:r>
        <w:rPr>
          <w:rFonts w:ascii="Times New Roman"/>
          <w:color w:val="auto"/>
          <w:sz w:val="28"/>
          <w:szCs w:val="28"/>
        </w:rPr>
        <w:t>了</w:t>
      </w:r>
      <w:r>
        <w:rPr>
          <w:rFonts w:ascii="Times New Roman" w:hAnsiTheme="minorEastAsia"/>
          <w:color w:val="auto"/>
          <w:sz w:val="28"/>
          <w:szCs w:val="28"/>
        </w:rPr>
        <w:t>安徽泾县、上海奉贤、江苏南通、浙江衢州</w:t>
      </w:r>
      <w:r>
        <w:rPr>
          <w:rFonts w:ascii="Times New Roman" w:hAnsi="Times New Roman"/>
          <w:color w:val="auto"/>
          <w:sz w:val="28"/>
          <w:szCs w:val="28"/>
        </w:rPr>
        <w:t>4</w:t>
      </w:r>
      <w:r>
        <w:rPr>
          <w:rFonts w:ascii="Times New Roman" w:hAnsiTheme="minorEastAsia"/>
          <w:color w:val="auto"/>
          <w:sz w:val="28"/>
          <w:szCs w:val="28"/>
        </w:rPr>
        <w:t>站</w:t>
      </w:r>
      <w:r>
        <w:rPr>
          <w:rFonts w:ascii="Times New Roman"/>
          <w:color w:val="auto"/>
          <w:sz w:val="28"/>
          <w:szCs w:val="28"/>
        </w:rPr>
        <w:t>长三角汽车联赛</w:t>
      </w:r>
      <w:r>
        <w:rPr>
          <w:rFonts w:hint="eastAsia" w:asciiTheme="minorEastAsia" w:hAnsiTheme="minorEastAsia" w:cstheme="minorEastAsia"/>
          <w:color w:val="auto"/>
          <w:sz w:val="28"/>
          <w:szCs w:val="28"/>
        </w:rPr>
        <w:t>；江苏省汽车露营协会、安徽省汽车自驾运动营地协会相继成立，搭建了融合发展的重要平台；中国（上海）房车露营休闲运动产业博览会、安徽(合肥)运动暨户外休闲用品展览会落地生根，展示了汽车运动产业融合发展的新产品、新成果、新模式。三是政策环境良好。国家从经济战略上高度重视长三角地区体育产业发展，长三角地区形成了《长三角地区体育产业协作协议》、《长三角地区体育产业一体化发展三年行动计划（2018-2020）》、《长江三角洲区域汽车运动产业一体化发展战略合作框架协议》等一系列合作范式，建立了共同支持参与、高效务实的工作领导机制。在实际开展区域体育产业协作上达成了共识，营造出良好的体育产业发展环境，为扎实推进汽车运动产业各项工作任务落到实处奠定了基础。</w:t>
      </w:r>
    </w:p>
    <w:p>
      <w:pPr>
        <w:pStyle w:val="9"/>
        <w:pageBreakBefore w:val="0"/>
        <w:widowControl/>
        <w:kinsoku/>
        <w:wordWrap/>
        <w:overflowPunct/>
        <w:topLinePunct w:val="0"/>
        <w:bidi w:val="0"/>
        <w:snapToGrid/>
        <w:spacing w:beforeAutospacing="0" w:afterAutospacing="0" w:line="600" w:lineRule="exact"/>
        <w:ind w:firstLine="560" w:firstLineChars="200"/>
        <w:textAlignment w:val="auto"/>
        <w:rPr>
          <w:rFonts w:asciiTheme="minorEastAsia" w:hAnsiTheme="minorEastAsia" w:cstheme="minorEastAsia"/>
          <w:color w:val="auto"/>
          <w:sz w:val="28"/>
          <w:szCs w:val="28"/>
        </w:rPr>
      </w:pPr>
      <w:r>
        <w:rPr>
          <w:rFonts w:hint="eastAsia" w:asciiTheme="minorEastAsia" w:hAnsiTheme="minorEastAsia" w:cstheme="minorEastAsia"/>
          <w:color w:val="auto"/>
          <w:sz w:val="28"/>
          <w:szCs w:val="28"/>
        </w:rPr>
        <w:t>总体上看，目前长三角地区汽车运动产业一体化发展水平还不高，市场主体活力还不强，有效合作机制尚未完全建立，大众参与激发力度还不够，产业发展服务保障体系不健全。随着“健康中国”和全民健身国家战略的稳步实施、长三角地区体育产业高质量发展的持续推动、</w:t>
      </w:r>
      <w:r>
        <w:rPr>
          <w:rFonts w:hint="eastAsia" w:asciiTheme="minorEastAsia" w:hAnsiTheme="minorEastAsia" w:cstheme="minorEastAsia"/>
          <w:color w:val="auto"/>
          <w:sz w:val="28"/>
          <w:szCs w:val="28"/>
          <w:lang w:eastAsia="zh-CN"/>
        </w:rPr>
        <w:t>人工智能技术</w:t>
      </w:r>
      <w:r>
        <w:rPr>
          <w:rFonts w:hint="eastAsia" w:asciiTheme="minorEastAsia" w:hAnsiTheme="minorEastAsia" w:cstheme="minorEastAsia"/>
          <w:color w:val="auto"/>
          <w:sz w:val="28"/>
          <w:szCs w:val="28"/>
        </w:rPr>
        <w:t>的广泛应用，汽车运动消费需求将日益旺盛，呈现多层次多元化的发展趋势，汽车运动产业的经济社会发展条件不断成熟，产业发展基础日渐夯实，长三角地区汽车运动产业必将迎来规模不断扩大、质量不断提升、竞争力显著增强的战略发展机遇。</w:t>
      </w:r>
    </w:p>
    <w:p>
      <w:pPr>
        <w:pageBreakBefore w:val="0"/>
        <w:kinsoku/>
        <w:wordWrap/>
        <w:overflowPunct/>
        <w:topLinePunct w:val="0"/>
        <w:bidi w:val="0"/>
        <w:snapToGrid/>
        <w:spacing w:before="156" w:beforeLines="50" w:after="156" w:afterLines="50" w:line="600" w:lineRule="exact"/>
        <w:ind w:firstLine="562" w:firstLineChars="200"/>
        <w:textAlignment w:val="auto"/>
        <w:rPr>
          <w:rFonts w:ascii="黑体" w:hAnsi="黑体" w:eastAsia="黑体" w:cs="黑体"/>
          <w:b/>
          <w:bCs/>
          <w:sz w:val="28"/>
          <w:szCs w:val="28"/>
        </w:rPr>
      </w:pPr>
      <w:r>
        <w:rPr>
          <w:rFonts w:hint="eastAsia" w:ascii="黑体" w:hAnsi="黑体" w:eastAsia="黑体" w:cs="黑体"/>
          <w:b/>
          <w:bCs/>
          <w:sz w:val="28"/>
          <w:szCs w:val="28"/>
        </w:rPr>
        <w:t>二、总体要求</w:t>
      </w:r>
    </w:p>
    <w:p>
      <w:pPr>
        <w:pageBreakBefore w:val="0"/>
        <w:kinsoku/>
        <w:wordWrap/>
        <w:overflowPunct/>
        <w:topLinePunct w:val="0"/>
        <w:bidi w:val="0"/>
        <w:snapToGrid/>
        <w:spacing w:line="600" w:lineRule="exact"/>
        <w:ind w:firstLine="561" w:firstLineChars="200"/>
        <w:textAlignment w:val="auto"/>
        <w:rPr>
          <w:rFonts w:ascii="Times New Roman" w:hAnsi="Times New Roman" w:eastAsia="华文中宋"/>
          <w:b/>
          <w:bCs/>
          <w:sz w:val="28"/>
          <w:szCs w:val="28"/>
        </w:rPr>
      </w:pPr>
      <w:r>
        <w:rPr>
          <w:rFonts w:hint="eastAsia" w:ascii="Times New Roman" w:hAnsi="Times New Roman" w:eastAsia="华文中宋"/>
          <w:b/>
          <w:bCs/>
          <w:sz w:val="28"/>
          <w:szCs w:val="28"/>
        </w:rPr>
        <w:t>（一）指导思想</w:t>
      </w:r>
    </w:p>
    <w:p>
      <w:pPr>
        <w:pageBreakBefore w:val="0"/>
        <w:kinsoku/>
        <w:wordWrap/>
        <w:overflowPunct/>
        <w:topLinePunct w:val="0"/>
        <w:autoSpaceDE w:val="0"/>
        <w:autoSpaceDN w:val="0"/>
        <w:bidi w:val="0"/>
        <w:adjustRightInd w:val="0"/>
        <w:snapToGrid/>
        <w:spacing w:line="600" w:lineRule="exact"/>
        <w:jc w:val="left"/>
        <w:textAlignment w:val="auto"/>
        <w:rPr>
          <w:rFonts w:cs="方正仿宋_GBK" w:asciiTheme="minorEastAsia" w:hAnsiTheme="minorEastAsia" w:eastAsiaTheme="minorEastAsia"/>
          <w:strike/>
          <w:sz w:val="28"/>
          <w:szCs w:val="28"/>
        </w:rPr>
      </w:pPr>
      <w:r>
        <w:rPr>
          <w:rFonts w:hint="eastAsia" w:cs="方正仿宋_GBK" w:asciiTheme="minorEastAsia" w:hAnsiTheme="minorEastAsia" w:eastAsiaTheme="minorEastAsia"/>
          <w:sz w:val="28"/>
          <w:szCs w:val="28"/>
        </w:rPr>
        <w:t xml:space="preserve">    以习近平新时代中国特色社会主义思想为指导，坚定实施扩大内需战略，贯彻落实创新、协调、绿色、开放、共享的发展理念，牢牢把握稳中求进工作总基调和高质量发展要求，稳步发展长三角地区汽车运动产业。以加快推动长三角地区汽车运动产业一体化高质量发展为宗旨，以深入推进汽车产业供给侧结构性改革为主线，以打通汽车运动产业发展跨界合作机制为重点，以不断满足大众多层次多样化的健身休闲需求为目标，力争成为贯穿新发展理念的引领示范区。</w:t>
      </w:r>
    </w:p>
    <w:p>
      <w:pPr>
        <w:pageBreakBefore w:val="0"/>
        <w:kinsoku/>
        <w:wordWrap/>
        <w:overflowPunct/>
        <w:topLinePunct w:val="0"/>
        <w:bidi w:val="0"/>
        <w:snapToGrid/>
        <w:spacing w:line="600" w:lineRule="exact"/>
        <w:ind w:firstLine="561" w:firstLineChars="200"/>
        <w:textAlignment w:val="auto"/>
        <w:rPr>
          <w:rFonts w:ascii="Times New Roman" w:hAnsi="Times New Roman" w:eastAsia="华文中宋"/>
          <w:b/>
          <w:bCs/>
          <w:sz w:val="28"/>
          <w:szCs w:val="28"/>
        </w:rPr>
      </w:pPr>
      <w:r>
        <w:rPr>
          <w:rFonts w:hint="eastAsia" w:ascii="Times New Roman" w:hAnsi="Times New Roman" w:eastAsia="华文中宋"/>
          <w:b/>
          <w:bCs/>
          <w:sz w:val="28"/>
          <w:szCs w:val="28"/>
        </w:rPr>
        <w:t>（二）基本原则</w:t>
      </w:r>
    </w:p>
    <w:p>
      <w:pPr>
        <w:pageBreakBefore w:val="0"/>
        <w:kinsoku/>
        <w:wordWrap/>
        <w:overflowPunct/>
        <w:topLinePunct w:val="0"/>
        <w:bidi w:val="0"/>
        <w:snapToGrid/>
        <w:spacing w:line="600" w:lineRule="exact"/>
        <w:ind w:firstLine="560" w:firstLineChars="200"/>
        <w:jc w:val="left"/>
        <w:textAlignment w:val="auto"/>
        <w:rPr>
          <w:rFonts w:cs="仿宋_GB2312" w:asciiTheme="minorEastAsia" w:hAnsiTheme="minorEastAsia" w:eastAsiaTheme="minorEastAsia"/>
          <w:kern w:val="0"/>
          <w:sz w:val="28"/>
          <w:szCs w:val="28"/>
        </w:rPr>
      </w:pPr>
      <w:r>
        <w:rPr>
          <w:rFonts w:hint="eastAsia" w:ascii="方正仿宋_GB2312" w:hAnsi="方正仿宋_GB2312" w:eastAsia="方正仿宋_GB2312" w:cs="方正仿宋_GB2312"/>
          <w:sz w:val="28"/>
          <w:szCs w:val="28"/>
        </w:rPr>
        <w:t>坚持战略引领。</w:t>
      </w:r>
      <w:r>
        <w:rPr>
          <w:rFonts w:hint="eastAsia" w:cs="仿宋_GB2312" w:asciiTheme="minorEastAsia" w:hAnsiTheme="minorEastAsia" w:eastAsiaTheme="minorEastAsia"/>
          <w:kern w:val="0"/>
          <w:sz w:val="28"/>
          <w:szCs w:val="28"/>
        </w:rPr>
        <w:t>以长三角一体化发展战略为引领，加强区域汽车运动产业的规划衔接，推动形成科学合理的区域产业体系；聚焦重点合作项目和平台，进一步完善合作机制，培育一批具有较强竞争力的汽车运动领军企业。</w:t>
      </w:r>
    </w:p>
    <w:p>
      <w:pPr>
        <w:pageBreakBefore w:val="0"/>
        <w:kinsoku/>
        <w:wordWrap/>
        <w:overflowPunct/>
        <w:topLinePunct w:val="0"/>
        <w:bidi w:val="0"/>
        <w:snapToGrid/>
        <w:spacing w:line="600" w:lineRule="exact"/>
        <w:ind w:firstLine="560" w:firstLineChars="200"/>
        <w:jc w:val="left"/>
        <w:textAlignment w:val="auto"/>
        <w:rPr>
          <w:rFonts w:cs="仿宋_GB2312" w:asciiTheme="minorEastAsia" w:hAnsiTheme="minorEastAsia" w:eastAsiaTheme="minorEastAsia"/>
          <w:kern w:val="0"/>
          <w:sz w:val="28"/>
          <w:szCs w:val="28"/>
        </w:rPr>
      </w:pPr>
      <w:r>
        <w:rPr>
          <w:rFonts w:hint="eastAsia" w:ascii="方正仿宋_GB2312" w:hAnsi="方正仿宋_GB2312" w:eastAsia="方正仿宋_GB2312" w:cs="方正仿宋_GB2312"/>
          <w:sz w:val="28"/>
          <w:szCs w:val="28"/>
        </w:rPr>
        <w:t>坚持</w:t>
      </w:r>
      <w:r>
        <w:rPr>
          <w:rFonts w:hint="eastAsia" w:ascii="Cambria" w:hAnsi="Cambria" w:eastAsia="方正仿宋_GB2312" w:cs="Cambria"/>
          <w:sz w:val="28"/>
          <w:szCs w:val="28"/>
        </w:rPr>
        <w:t>协同</w:t>
      </w:r>
      <w:r>
        <w:rPr>
          <w:rFonts w:hint="eastAsia" w:ascii="方正仿宋_GB2312" w:hAnsi="方正仿宋_GB2312" w:eastAsia="方正仿宋_GB2312" w:cs="方正仿宋_GB2312"/>
          <w:sz w:val="28"/>
          <w:szCs w:val="28"/>
        </w:rPr>
        <w:t>创新。</w:t>
      </w:r>
      <w:r>
        <w:rPr>
          <w:rFonts w:hint="eastAsia" w:cs="仿宋_GB2312" w:asciiTheme="minorEastAsia" w:hAnsiTheme="minorEastAsia" w:eastAsiaTheme="minorEastAsia"/>
          <w:kern w:val="0"/>
          <w:sz w:val="28"/>
          <w:szCs w:val="28"/>
        </w:rPr>
        <w:t>坚持政府引导与市场主体相结合，建立开放透明的市场规则，发挥政策合力，瞄准新需求、开发新产品、打造新业态、创造新模式和培育新主体，提升产业能级。创新社会力量参与汽车运动赛事的组织方式，积极打造具有长三角地域特点、融合新技术的原创品牌赛事，形成汽车运动产业发展的新思路、新举措和新成效。</w:t>
      </w:r>
    </w:p>
    <w:p>
      <w:pPr>
        <w:pageBreakBefore w:val="0"/>
        <w:kinsoku/>
        <w:wordWrap/>
        <w:overflowPunct/>
        <w:topLinePunct w:val="0"/>
        <w:bidi w:val="0"/>
        <w:snapToGrid/>
        <w:spacing w:line="600" w:lineRule="exact"/>
        <w:ind w:firstLine="560" w:firstLineChars="200"/>
        <w:jc w:val="left"/>
        <w:textAlignment w:val="auto"/>
        <w:rPr>
          <w:rFonts w:cs="仿宋_GB2312" w:asciiTheme="minorEastAsia" w:hAnsiTheme="minorEastAsia" w:eastAsiaTheme="minorEastAsia"/>
          <w:kern w:val="0"/>
          <w:sz w:val="28"/>
          <w:szCs w:val="28"/>
          <w:highlight w:val="yellow"/>
        </w:rPr>
      </w:pPr>
      <w:r>
        <w:rPr>
          <w:rFonts w:hint="eastAsia" w:ascii="方正仿宋_GB2312" w:hAnsi="方正仿宋_GB2312" w:eastAsia="方正仿宋_GB2312" w:cs="方正仿宋_GB2312"/>
          <w:sz w:val="28"/>
          <w:szCs w:val="28"/>
        </w:rPr>
        <w:t>坚持开放联动。</w:t>
      </w:r>
      <w:r>
        <w:rPr>
          <w:rFonts w:hint="eastAsia" w:cs="仿宋_GB2312" w:asciiTheme="minorEastAsia" w:hAnsiTheme="minorEastAsia" w:eastAsiaTheme="minorEastAsia"/>
          <w:kern w:val="0"/>
          <w:sz w:val="28"/>
          <w:szCs w:val="28"/>
        </w:rPr>
        <w:t>立足长三角整体发展和长远利益，坚持公平开放理念，打破地区封锁，实现长三角现代汽车运动产业一体化体系。积极争取各级政府和相关部门的大力支持，注重协调衔接，整合资源，不断促进功能布局互动，形成分工合理、优势互补、各具特色的汽车运动产业发展模式。</w:t>
      </w:r>
    </w:p>
    <w:p>
      <w:pPr>
        <w:pageBreakBefore w:val="0"/>
        <w:kinsoku/>
        <w:wordWrap/>
        <w:overflowPunct/>
        <w:topLinePunct w:val="0"/>
        <w:bidi w:val="0"/>
        <w:snapToGrid/>
        <w:spacing w:line="600" w:lineRule="exact"/>
        <w:ind w:firstLine="560" w:firstLineChars="200"/>
        <w:jc w:val="left"/>
        <w:textAlignment w:val="auto"/>
        <w:rPr>
          <w:rFonts w:cs="仿宋_GB2312" w:asciiTheme="minorEastAsia" w:hAnsiTheme="minorEastAsia" w:eastAsiaTheme="minorEastAsia"/>
          <w:kern w:val="0"/>
          <w:sz w:val="28"/>
          <w:szCs w:val="28"/>
        </w:rPr>
      </w:pPr>
      <w:r>
        <w:rPr>
          <w:rFonts w:hint="eastAsia" w:ascii="方正仿宋_GB2312" w:hAnsi="方正仿宋_GB2312" w:eastAsia="方正仿宋_GB2312" w:cs="方正仿宋_GB2312"/>
          <w:sz w:val="28"/>
          <w:szCs w:val="28"/>
        </w:rPr>
        <w:t>坚持融合互动。</w:t>
      </w:r>
      <w:r>
        <w:rPr>
          <w:rFonts w:hint="eastAsia" w:cs="仿宋_GB2312" w:asciiTheme="minorEastAsia" w:hAnsiTheme="minorEastAsia" w:eastAsiaTheme="minorEastAsia"/>
          <w:kern w:val="0"/>
          <w:sz w:val="28"/>
          <w:szCs w:val="28"/>
        </w:rPr>
        <w:t>统筹推进汽车运动产业与全域旅游、农业、林业、文化、健康、研学、科普、教育等产业的融合发展，构建“营地+”的汽车运动产业生态圈，加快实现汽车运动产业集聚区同山水生态区、户外运动区、乡村旅游区的串联，形成汽车运动产业与其它行业融合互动的发展格局。</w:t>
      </w:r>
    </w:p>
    <w:p>
      <w:pPr>
        <w:pageBreakBefore w:val="0"/>
        <w:kinsoku/>
        <w:wordWrap/>
        <w:overflowPunct/>
        <w:topLinePunct w:val="0"/>
        <w:bidi w:val="0"/>
        <w:snapToGrid/>
        <w:spacing w:line="600" w:lineRule="exact"/>
        <w:ind w:firstLine="561" w:firstLineChars="200"/>
        <w:textAlignment w:val="auto"/>
        <w:rPr>
          <w:rFonts w:ascii="Times New Roman" w:hAnsi="Times New Roman" w:eastAsia="华文中宋"/>
          <w:b/>
          <w:bCs/>
          <w:sz w:val="28"/>
          <w:szCs w:val="28"/>
        </w:rPr>
      </w:pPr>
      <w:r>
        <w:rPr>
          <w:rFonts w:hint="eastAsia" w:ascii="Times New Roman" w:hAnsi="Times New Roman" w:eastAsia="华文中宋"/>
          <w:b/>
          <w:bCs/>
          <w:sz w:val="28"/>
          <w:szCs w:val="28"/>
        </w:rPr>
        <w:t>（三）发展目标</w:t>
      </w:r>
    </w:p>
    <w:p>
      <w:pPr>
        <w:pageBreakBefore w:val="0"/>
        <w:kinsoku/>
        <w:wordWrap/>
        <w:overflowPunct/>
        <w:topLinePunct w:val="0"/>
        <w:bidi w:val="0"/>
        <w:snapToGrid/>
        <w:spacing w:line="600" w:lineRule="exact"/>
        <w:ind w:firstLine="560" w:firstLineChars="200"/>
        <w:jc w:val="left"/>
        <w:textAlignment w:val="auto"/>
        <w:rPr>
          <w:rFonts w:cs="仿宋_GB2312" w:asciiTheme="minorEastAsia" w:hAnsiTheme="minorEastAsia" w:eastAsiaTheme="minorEastAsia"/>
          <w:kern w:val="0"/>
          <w:sz w:val="28"/>
          <w:szCs w:val="28"/>
        </w:rPr>
      </w:pPr>
      <w:r>
        <w:rPr>
          <w:rFonts w:hint="eastAsia" w:cs="仿宋_GB2312" w:asciiTheme="minorEastAsia" w:hAnsiTheme="minorEastAsia" w:eastAsiaTheme="minorEastAsia"/>
          <w:kern w:val="0"/>
          <w:sz w:val="28"/>
          <w:szCs w:val="28"/>
        </w:rPr>
        <w:t>建成政府引导、市场主导、运作有序、特色鲜明、效益显著的长三角汽车运动产业一体化发展体系。基本形成集汽车运动赛事节庆活动、体育旅游精品项目、汽车自驾运动营地建设、汽车运动与相关产业融合发展为一体的长三角汽车运动产业发展格局。</w:t>
      </w:r>
    </w:p>
    <w:p>
      <w:pPr>
        <w:pageBreakBefore w:val="0"/>
        <w:kinsoku/>
        <w:wordWrap/>
        <w:overflowPunct/>
        <w:topLinePunct w:val="0"/>
        <w:bidi w:val="0"/>
        <w:snapToGrid/>
        <w:spacing w:line="600" w:lineRule="exact"/>
        <w:ind w:firstLine="560" w:firstLineChars="200"/>
        <w:jc w:val="left"/>
        <w:textAlignment w:val="auto"/>
        <w:rPr>
          <w:rFonts w:cs="仿宋_GB2312" w:asciiTheme="minorEastAsia" w:hAnsiTheme="minorEastAsia" w:eastAsiaTheme="minorEastAsia"/>
          <w:kern w:val="0"/>
          <w:sz w:val="28"/>
          <w:szCs w:val="28"/>
        </w:rPr>
      </w:pPr>
      <w:r>
        <w:rPr>
          <w:rFonts w:hint="eastAsia" w:cs="仿宋_GB2312" w:asciiTheme="minorEastAsia" w:hAnsiTheme="minorEastAsia" w:eastAsiaTheme="minorEastAsia"/>
          <w:kern w:val="0"/>
          <w:sz w:val="28"/>
          <w:szCs w:val="28"/>
        </w:rPr>
        <w:t>到2025年，将长三角汽车</w:t>
      </w:r>
      <w:r>
        <w:rPr>
          <w:rFonts w:hint="eastAsia" w:cs="仿宋_GB2312" w:asciiTheme="minorEastAsia" w:hAnsiTheme="minorEastAsia" w:eastAsiaTheme="minorEastAsia"/>
          <w:kern w:val="0"/>
          <w:sz w:val="28"/>
          <w:szCs w:val="28"/>
          <w:lang w:eastAsia="zh-CN"/>
        </w:rPr>
        <w:t>场地越野</w:t>
      </w:r>
      <w:r>
        <w:rPr>
          <w:rFonts w:hint="eastAsia" w:cs="仿宋_GB2312" w:asciiTheme="minorEastAsia" w:hAnsiTheme="minorEastAsia" w:eastAsiaTheme="minorEastAsia"/>
          <w:kern w:val="0"/>
          <w:sz w:val="28"/>
          <w:szCs w:val="28"/>
        </w:rPr>
        <w:t>联赛培育成为区域内规模最大、规格最高、人员参与最多的汽车赛事；评选推介100个以上长三角体育旅游精品项目；深化汽车运动与相关产业融合发展取得显著成效；营地年均接待游客超过200万人次，年拉动消费10亿元以上；规划建设国际汽联认证的赛场（赛道）5个（条），建设200个以上汽车自驾运动营地。</w:t>
      </w:r>
    </w:p>
    <w:p>
      <w:pPr>
        <w:pageBreakBefore w:val="0"/>
        <w:kinsoku/>
        <w:wordWrap/>
        <w:overflowPunct/>
        <w:topLinePunct w:val="0"/>
        <w:bidi w:val="0"/>
        <w:snapToGrid/>
        <w:spacing w:before="156" w:beforeLines="50" w:after="156" w:afterLines="50" w:line="600" w:lineRule="exact"/>
        <w:ind w:firstLine="562" w:firstLineChars="200"/>
        <w:textAlignment w:val="auto"/>
        <w:rPr>
          <w:rFonts w:ascii="黑体" w:hAnsi="黑体" w:eastAsia="黑体" w:cs="黑体"/>
          <w:b/>
          <w:bCs/>
          <w:sz w:val="28"/>
          <w:szCs w:val="28"/>
        </w:rPr>
      </w:pPr>
      <w:r>
        <w:rPr>
          <w:rFonts w:hint="eastAsia" w:ascii="黑体" w:hAnsi="黑体" w:eastAsia="黑体" w:cs="黑体"/>
          <w:b/>
          <w:bCs/>
          <w:sz w:val="28"/>
          <w:szCs w:val="28"/>
        </w:rPr>
        <w:t>三、主要任务</w:t>
      </w:r>
    </w:p>
    <w:p>
      <w:pPr>
        <w:pageBreakBefore w:val="0"/>
        <w:kinsoku/>
        <w:wordWrap/>
        <w:overflowPunct/>
        <w:topLinePunct w:val="0"/>
        <w:bidi w:val="0"/>
        <w:snapToGrid/>
        <w:spacing w:line="600" w:lineRule="exact"/>
        <w:ind w:firstLine="561" w:firstLineChars="200"/>
        <w:textAlignment w:val="auto"/>
        <w:rPr>
          <w:rFonts w:ascii="Times New Roman" w:hAnsi="Times New Roman" w:eastAsia="黑体"/>
          <w:b/>
          <w:bCs/>
          <w:sz w:val="28"/>
          <w:szCs w:val="28"/>
        </w:rPr>
      </w:pPr>
      <w:r>
        <w:rPr>
          <w:rFonts w:hint="eastAsia" w:ascii="Times New Roman" w:hAnsi="Times New Roman" w:eastAsia="华文中宋"/>
          <w:b/>
          <w:bCs/>
          <w:sz w:val="28"/>
          <w:szCs w:val="28"/>
        </w:rPr>
        <w:t>（一）丰富汽车运动赛事活动供给</w:t>
      </w:r>
    </w:p>
    <w:p>
      <w:pPr>
        <w:pageBreakBefore w:val="0"/>
        <w:kinsoku/>
        <w:wordWrap/>
        <w:overflowPunct/>
        <w:topLinePunct w:val="0"/>
        <w:bidi w:val="0"/>
        <w:snapToGrid/>
        <w:spacing w:line="600" w:lineRule="exact"/>
        <w:ind w:firstLine="560" w:firstLineChars="200"/>
        <w:jc w:val="left"/>
        <w:textAlignment w:val="auto"/>
        <w:rPr>
          <w:rFonts w:cs="仿宋_GB2312" w:asciiTheme="minorEastAsia" w:hAnsiTheme="minorEastAsia" w:eastAsiaTheme="minorEastAsia"/>
          <w:kern w:val="0"/>
          <w:sz w:val="28"/>
          <w:szCs w:val="28"/>
        </w:rPr>
      </w:pPr>
      <w:r>
        <w:rPr>
          <w:rFonts w:ascii="方正仿宋_GB2312" w:hAnsi="方正仿宋_GB2312" w:eastAsia="方正仿宋_GB2312" w:cs="方正仿宋_GB2312"/>
          <w:sz w:val="28"/>
          <w:szCs w:val="28"/>
        </w:rPr>
        <w:t>完善赛事体系。</w:t>
      </w:r>
      <w:r>
        <w:rPr>
          <w:rFonts w:hint="eastAsia" w:cs="仿宋_GB2312" w:asciiTheme="minorEastAsia" w:hAnsiTheme="minorEastAsia" w:eastAsiaTheme="minorEastAsia"/>
          <w:kern w:val="0"/>
          <w:sz w:val="28"/>
          <w:szCs w:val="28"/>
        </w:rPr>
        <w:t>以承办国际、国家级重大赛事为突破口，广泛开展方程式赛车、</w:t>
      </w:r>
      <w:r>
        <w:rPr>
          <w:rFonts w:hint="eastAsia" w:cs="仿宋_GB2312" w:asciiTheme="minorEastAsia" w:hAnsiTheme="minorEastAsia" w:eastAsiaTheme="minorEastAsia"/>
          <w:kern w:val="0"/>
          <w:sz w:val="28"/>
          <w:szCs w:val="28"/>
          <w:lang w:eastAsia="zh-CN"/>
        </w:rPr>
        <w:t>卡丁车赛</w:t>
      </w:r>
      <w:r>
        <w:rPr>
          <w:rFonts w:hint="eastAsia" w:cs="仿宋_GB2312" w:asciiTheme="minorEastAsia" w:hAnsiTheme="minorEastAsia" w:eastAsiaTheme="minorEastAsia"/>
          <w:kern w:val="0"/>
          <w:sz w:val="28"/>
          <w:szCs w:val="28"/>
        </w:rPr>
        <w:t>、</w:t>
      </w:r>
      <w:r>
        <w:rPr>
          <w:rFonts w:hint="eastAsia" w:cs="仿宋_GB2312" w:asciiTheme="minorEastAsia" w:hAnsiTheme="minorEastAsia" w:eastAsiaTheme="minorEastAsia"/>
          <w:kern w:val="0"/>
          <w:sz w:val="28"/>
          <w:szCs w:val="28"/>
          <w:lang w:eastAsia="zh-CN"/>
        </w:rPr>
        <w:t>场地</w:t>
      </w:r>
      <w:r>
        <w:rPr>
          <w:rFonts w:hint="eastAsia" w:cs="仿宋_GB2312" w:asciiTheme="minorEastAsia" w:hAnsiTheme="minorEastAsia" w:eastAsiaTheme="minorEastAsia"/>
          <w:kern w:val="0"/>
          <w:sz w:val="28"/>
          <w:szCs w:val="28"/>
        </w:rPr>
        <w:t>越野赛等赛事，重点打造具有区域特色的“长三角汽车运动联赛”。结合世界顶级专业汽车赛事和全国汽车赛事，培育顶级赛事引领、专业赛事推动、业余赛事普及的赛事层级体系。</w:t>
      </w:r>
    </w:p>
    <w:p>
      <w:pPr>
        <w:pageBreakBefore w:val="0"/>
        <w:kinsoku/>
        <w:wordWrap/>
        <w:overflowPunct/>
        <w:topLinePunct w:val="0"/>
        <w:bidi w:val="0"/>
        <w:snapToGrid/>
        <w:spacing w:line="600" w:lineRule="exact"/>
        <w:ind w:firstLine="560" w:firstLineChars="200"/>
        <w:textAlignment w:val="auto"/>
        <w:rPr>
          <w:rFonts w:hint="eastAsia" w:cs="仿宋_GB2312" w:asciiTheme="minorEastAsia" w:hAnsiTheme="minorEastAsia" w:eastAsiaTheme="minorEastAsia"/>
          <w:kern w:val="0"/>
          <w:sz w:val="28"/>
          <w:szCs w:val="28"/>
        </w:rPr>
      </w:pPr>
      <w:r>
        <w:rPr>
          <w:rFonts w:ascii="方正仿宋_GB2312" w:hAnsi="方正仿宋_GB2312" w:eastAsia="方正仿宋_GB2312" w:cs="方正仿宋_GB2312"/>
          <w:sz w:val="28"/>
          <w:szCs w:val="28"/>
        </w:rPr>
        <w:t>培育特色活动。</w:t>
      </w:r>
      <w:r>
        <w:rPr>
          <w:rFonts w:hint="eastAsia" w:cs="仿宋_GB2312" w:asciiTheme="minorEastAsia" w:hAnsiTheme="minorEastAsia" w:eastAsiaTheme="minorEastAsia"/>
          <w:kern w:val="0"/>
          <w:sz w:val="28"/>
          <w:szCs w:val="28"/>
        </w:rPr>
        <w:t>挖掘长三角地区汽车运动特色资源，结合浙江的西塘庙会和</w:t>
      </w:r>
      <w:r>
        <w:rPr>
          <w:rFonts w:ascii="Arial" w:hAnsi="Arial" w:cs="Arial"/>
          <w:sz w:val="28"/>
          <w:szCs w:val="28"/>
        </w:rPr>
        <w:t>大禹陵风筝节</w:t>
      </w:r>
      <w:r>
        <w:rPr>
          <w:rFonts w:hint="eastAsia" w:ascii="Arial" w:hAnsi="Arial" w:cs="Arial"/>
          <w:sz w:val="28"/>
          <w:szCs w:val="28"/>
        </w:rPr>
        <w:t>、安徽的</w:t>
      </w:r>
      <w:r>
        <w:rPr>
          <w:rFonts w:ascii="Arial" w:hAnsi="Arial" w:cs="Arial"/>
          <w:sz w:val="28"/>
          <w:szCs w:val="28"/>
        </w:rPr>
        <w:t>黄山国际旅游</w:t>
      </w:r>
      <w:r>
        <w:rPr>
          <w:rFonts w:hint="eastAsia" w:ascii="Arial" w:hAnsi="Arial" w:cs="Arial"/>
          <w:sz w:val="28"/>
          <w:szCs w:val="28"/>
        </w:rPr>
        <w:t>及中华车祖文体</w:t>
      </w:r>
      <w:r>
        <w:rPr>
          <w:rFonts w:ascii="Arial" w:hAnsi="Arial" w:cs="Arial"/>
          <w:sz w:val="28"/>
          <w:szCs w:val="28"/>
        </w:rPr>
        <w:t>节</w:t>
      </w:r>
      <w:r>
        <w:rPr>
          <w:rFonts w:hint="eastAsia" w:ascii="Arial" w:hAnsi="Arial" w:cs="Arial"/>
          <w:sz w:val="28"/>
          <w:szCs w:val="28"/>
        </w:rPr>
        <w:t>、江苏的</w:t>
      </w:r>
      <w:r>
        <w:rPr>
          <w:rFonts w:ascii="Arial" w:hAnsi="Arial" w:cs="Arial"/>
          <w:sz w:val="28"/>
          <w:szCs w:val="28"/>
        </w:rPr>
        <w:t>南京国际梅花节和丹顶鹤</w:t>
      </w:r>
      <w:r>
        <w:rPr>
          <w:rFonts w:hint="eastAsia" w:ascii="Arial" w:hAnsi="Arial" w:cs="Arial"/>
          <w:sz w:val="28"/>
          <w:szCs w:val="28"/>
        </w:rPr>
        <w:t>国际湿地生态旅游节</w:t>
      </w:r>
      <w:r>
        <w:rPr>
          <w:rFonts w:ascii="Arial" w:hAnsi="Arial" w:cs="Arial"/>
          <w:sz w:val="28"/>
          <w:szCs w:val="28"/>
        </w:rPr>
        <w:t>、上海全民健身节</w:t>
      </w:r>
      <w:r>
        <w:rPr>
          <w:rFonts w:hint="eastAsia" w:cs="仿宋_GB2312" w:asciiTheme="minorEastAsia" w:hAnsiTheme="minorEastAsia" w:eastAsiaTheme="minorEastAsia"/>
          <w:kern w:val="0"/>
          <w:sz w:val="28"/>
          <w:szCs w:val="28"/>
        </w:rPr>
        <w:t>等节庆活动，积极开展以环境保护、汽车运动知识与技能、家庭户外休闲趣味、不同亲子主题等为主的活动</w:t>
      </w:r>
      <w:r>
        <w:rPr>
          <w:rFonts w:hint="eastAsia" w:asciiTheme="minorEastAsia" w:hAnsiTheme="minorEastAsia" w:eastAsiaTheme="minorEastAsia"/>
          <w:sz w:val="28"/>
          <w:szCs w:val="28"/>
        </w:rPr>
        <w:t>，创办具有地方特色的汽车运动活动日和长三角地区汽车</w:t>
      </w:r>
      <w:r>
        <w:rPr>
          <w:rFonts w:asciiTheme="minorEastAsia" w:hAnsiTheme="minorEastAsia" w:eastAsiaTheme="minorEastAsia"/>
          <w:sz w:val="28"/>
          <w:szCs w:val="28"/>
        </w:rPr>
        <w:t>运动</w:t>
      </w:r>
      <w:r>
        <w:rPr>
          <w:rFonts w:hint="eastAsia" w:asciiTheme="minorEastAsia" w:hAnsiTheme="minorEastAsia" w:eastAsiaTheme="minorEastAsia"/>
          <w:sz w:val="28"/>
          <w:szCs w:val="28"/>
        </w:rPr>
        <w:t>活动月。支持通过汽车自驾游拉动经济发展、实现精准扶贫等各项活动。</w:t>
      </w:r>
      <w:r>
        <w:rPr>
          <w:rFonts w:hint="eastAsia" w:cs="仿宋_GB2312" w:asciiTheme="minorEastAsia" w:hAnsiTheme="minorEastAsia" w:eastAsiaTheme="minorEastAsia"/>
          <w:kern w:val="0"/>
          <w:sz w:val="28"/>
          <w:szCs w:val="28"/>
        </w:rPr>
        <w:t>扩大与国际体育组织合作，创办以汽车自驾运动、文化和产业交流为主题的各类论坛和运动展会，积极承办世界性、全国性的汽车露营大会。</w:t>
      </w:r>
    </w:p>
    <w:p>
      <w:pPr>
        <w:pageBreakBefore w:val="0"/>
        <w:kinsoku/>
        <w:wordWrap/>
        <w:overflowPunct/>
        <w:topLinePunct w:val="0"/>
        <w:bidi w:val="0"/>
        <w:snapToGrid/>
        <w:spacing w:line="600" w:lineRule="exact"/>
        <w:ind w:firstLine="560" w:firstLineChars="200"/>
        <w:textAlignment w:val="auto"/>
        <w:rPr>
          <w:rFonts w:hint="eastAsia" w:eastAsia="宋体" w:asciiTheme="minorEastAsia" w:hAnsiTheme="minorEastAsia"/>
          <w:sz w:val="28"/>
          <w:szCs w:val="28"/>
          <w:lang w:eastAsia="zh-CN"/>
        </w:rPr>
      </w:pPr>
      <w:r>
        <w:rPr>
          <w:rFonts w:ascii="方正仿宋_GB2312" w:hAnsi="方正仿宋_GB2312" w:eastAsia="方正仿宋_GB2312" w:cs="方正仿宋_GB2312"/>
          <w:sz w:val="28"/>
          <w:szCs w:val="28"/>
        </w:rPr>
        <w:t>打造品牌赛事。</w:t>
      </w:r>
      <w:r>
        <w:rPr>
          <w:rFonts w:hint="eastAsia" w:asciiTheme="minorEastAsia" w:hAnsiTheme="minorEastAsia"/>
          <w:sz w:val="28"/>
          <w:szCs w:val="28"/>
        </w:rPr>
        <w:t>充分利用自然人文特色资源，着力打造一批高水平、高质量的汽车运动品牌赛事。</w:t>
      </w:r>
      <w:r>
        <w:rPr>
          <w:rFonts w:hint="eastAsia" w:cs="华文仿宋" w:asciiTheme="minorEastAsia" w:hAnsiTheme="minorEastAsia"/>
          <w:kern w:val="0"/>
          <w:sz w:val="28"/>
          <w:szCs w:val="28"/>
        </w:rPr>
        <w:t>发挥区域文化旅游资源集聚优势，以培育长三角汽车场地越野赛为重点，</w:t>
      </w:r>
      <w:r>
        <w:rPr>
          <w:rFonts w:hint="eastAsia" w:asciiTheme="minorEastAsia" w:hAnsiTheme="minorEastAsia"/>
          <w:sz w:val="28"/>
          <w:szCs w:val="28"/>
        </w:rPr>
        <w:t>打造以上海F1为龙头的</w:t>
      </w:r>
      <w:r>
        <w:rPr>
          <w:rFonts w:hint="eastAsia" w:cs="华文仿宋" w:asciiTheme="minorEastAsia" w:hAnsiTheme="minorEastAsia"/>
          <w:kern w:val="0"/>
          <w:sz w:val="28"/>
          <w:szCs w:val="28"/>
        </w:rPr>
        <w:t>主题鲜明、形式多样、内容丰富、具有国际影响力的汽车运动品牌赛事。</w:t>
      </w:r>
      <w:r>
        <w:rPr>
          <w:rFonts w:asciiTheme="minorEastAsia" w:hAnsiTheme="minorEastAsia"/>
          <w:sz w:val="28"/>
          <w:szCs w:val="28"/>
        </w:rPr>
        <w:t>引导社会力量以</w:t>
      </w:r>
      <w:r>
        <w:rPr>
          <w:rFonts w:hint="eastAsia" w:asciiTheme="minorEastAsia" w:hAnsiTheme="minorEastAsia"/>
          <w:sz w:val="28"/>
          <w:szCs w:val="28"/>
        </w:rPr>
        <w:t>汽车</w:t>
      </w:r>
      <w:r>
        <w:rPr>
          <w:rFonts w:asciiTheme="minorEastAsia" w:hAnsiTheme="minorEastAsia"/>
          <w:sz w:val="28"/>
          <w:szCs w:val="28"/>
        </w:rPr>
        <w:t>营地为依托，创办广受群众</w:t>
      </w:r>
      <w:r>
        <w:rPr>
          <w:rFonts w:hint="eastAsia" w:asciiTheme="minorEastAsia" w:hAnsiTheme="minorEastAsia"/>
          <w:sz w:val="28"/>
          <w:szCs w:val="28"/>
        </w:rPr>
        <w:t>喜欢</w:t>
      </w:r>
      <w:r>
        <w:rPr>
          <w:rFonts w:asciiTheme="minorEastAsia" w:hAnsiTheme="minorEastAsia"/>
          <w:sz w:val="28"/>
          <w:szCs w:val="28"/>
        </w:rPr>
        <w:t>的水上、登山、冰雪、航空等系列娱乐性、休闲性</w:t>
      </w:r>
      <w:r>
        <w:rPr>
          <w:rFonts w:hint="eastAsia" w:asciiTheme="minorEastAsia" w:hAnsiTheme="minorEastAsia"/>
          <w:sz w:val="28"/>
          <w:szCs w:val="28"/>
        </w:rPr>
        <w:t>、</w:t>
      </w:r>
      <w:r>
        <w:rPr>
          <w:rFonts w:asciiTheme="minorEastAsia" w:hAnsiTheme="minorEastAsia"/>
          <w:sz w:val="28"/>
          <w:szCs w:val="28"/>
        </w:rPr>
        <w:t>群众性精品赛事</w:t>
      </w:r>
      <w:r>
        <w:rPr>
          <w:rFonts w:hint="eastAsia" w:asciiTheme="minorEastAsia" w:hAnsiTheme="minorEastAsia"/>
          <w:sz w:val="28"/>
          <w:szCs w:val="28"/>
        </w:rPr>
        <w:t>活动</w:t>
      </w:r>
      <w:r>
        <w:rPr>
          <w:rFonts w:hint="eastAsia" w:asciiTheme="minorEastAsia" w:hAnsiTheme="minorEastAsia"/>
          <w:sz w:val="28"/>
          <w:szCs w:val="28"/>
          <w:lang w:eastAsia="zh-CN"/>
        </w:rPr>
        <w:t>。</w:t>
      </w:r>
    </w:p>
    <w:tbl>
      <w:tblPr>
        <w:tblStyle w:val="1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613" w:type="dxa"/>
          </w:tcPr>
          <w:p>
            <w:pPr>
              <w:pageBreakBefore w:val="0"/>
              <w:kinsoku/>
              <w:wordWrap/>
              <w:overflowPunct/>
              <w:topLinePunct w:val="0"/>
              <w:bidi w:val="0"/>
              <w:snapToGrid/>
              <w:spacing w:line="600" w:lineRule="exact"/>
              <w:ind w:firstLine="1890" w:firstLineChars="900"/>
              <w:textAlignment w:val="auto"/>
              <w:rPr>
                <w:rFonts w:ascii="楷体" w:hAnsi="楷体" w:eastAsia="楷体" w:cs="华文仿宋"/>
                <w:kern w:val="0"/>
                <w:sz w:val="30"/>
                <w:szCs w:val="30"/>
              </w:rPr>
            </w:pPr>
            <w:r>
              <w:br w:type="page"/>
            </w:r>
            <w:r>
              <w:rPr>
                <w:rFonts w:hint="eastAsia" w:ascii="楷体" w:hAnsi="楷体" w:eastAsia="楷体" w:cs="华文仿宋"/>
                <w:kern w:val="0"/>
                <w:sz w:val="28"/>
                <w:szCs w:val="28"/>
              </w:rPr>
              <w:t>专栏1  打造汽车运动精品赛事活动</w:t>
            </w:r>
          </w:p>
          <w:p>
            <w:pPr>
              <w:pageBreakBefore w:val="0"/>
              <w:kinsoku/>
              <w:wordWrap/>
              <w:overflowPunct/>
              <w:topLinePunct w:val="0"/>
              <w:autoSpaceDE/>
              <w:autoSpaceDN/>
              <w:bidi w:val="0"/>
              <w:adjustRightInd/>
              <w:snapToGrid/>
              <w:spacing w:line="600" w:lineRule="exact"/>
              <w:ind w:firstLine="480" w:firstLineChars="200"/>
              <w:jc w:val="left"/>
              <w:textAlignment w:val="auto"/>
              <w:rPr>
                <w:rFonts w:cs="楷体_GB2312" w:asciiTheme="minorEastAsia" w:hAnsiTheme="minorEastAsia" w:eastAsiaTheme="minorEastAsia"/>
                <w:sz w:val="24"/>
                <w:szCs w:val="24"/>
              </w:rPr>
            </w:pPr>
            <w:r>
              <w:rPr>
                <w:rFonts w:hint="eastAsia" w:cs="楷体_GB2312" w:asciiTheme="minorEastAsia" w:hAnsiTheme="minorEastAsia" w:eastAsiaTheme="minorEastAsia"/>
                <w:sz w:val="24"/>
                <w:szCs w:val="24"/>
              </w:rPr>
              <w:t>利用自然人文特色资源，举办国际场地越野赛、拉力赛、集结赛、房车赛、卡丁车等赛事，坚持基础与品牌并重，逐步形成以地方性赛事和俱乐部赛事为塔基，以全国性赛事为塔腰，以国际性赛事为塔尖的金字塔型赛事结构。</w:t>
            </w:r>
          </w:p>
          <w:p>
            <w:pPr>
              <w:pageBreakBefore w:val="0"/>
              <w:kinsoku/>
              <w:wordWrap/>
              <w:overflowPunct/>
              <w:topLinePunct w:val="0"/>
              <w:autoSpaceDE/>
              <w:autoSpaceDN/>
              <w:bidi w:val="0"/>
              <w:adjustRightInd/>
              <w:snapToGrid/>
              <w:spacing w:line="600" w:lineRule="exact"/>
              <w:ind w:firstLine="480" w:firstLineChars="200"/>
              <w:jc w:val="left"/>
              <w:textAlignment w:val="auto"/>
              <w:rPr>
                <w:rFonts w:cs="华文仿宋" w:asciiTheme="minorEastAsia" w:hAnsiTheme="minorEastAsia" w:eastAsiaTheme="minorEastAsia"/>
                <w:kern w:val="0"/>
                <w:sz w:val="24"/>
                <w:szCs w:val="24"/>
              </w:rPr>
            </w:pPr>
            <w:r>
              <w:rPr>
                <w:rFonts w:hint="eastAsia" w:cs="华文仿宋" w:asciiTheme="minorEastAsia" w:hAnsiTheme="minorEastAsia" w:eastAsiaTheme="minorEastAsia"/>
                <w:kern w:val="0"/>
                <w:sz w:val="24"/>
                <w:szCs w:val="24"/>
              </w:rPr>
              <w:t>上海：积极整合国内外汽车赛事资源，遴选优质标杆赛事，树立中国顶级办赛标准，打造赛车名片。引入F1、中国房车锦标赛等高水平赛事平台的整体品牌塑造和全球宣传，有针对性地吸引国内外顶级车手参与。与国际汽车联合会合作共同打造国际知名度高、市场影响力强、业内参与度广、示范引领性强的国际品牌赛事。</w:t>
            </w:r>
          </w:p>
          <w:p>
            <w:pPr>
              <w:pageBreakBefore w:val="0"/>
              <w:kinsoku/>
              <w:wordWrap/>
              <w:overflowPunct/>
              <w:topLinePunct w:val="0"/>
              <w:autoSpaceDE/>
              <w:autoSpaceDN/>
              <w:bidi w:val="0"/>
              <w:adjustRightInd/>
              <w:snapToGrid/>
              <w:spacing w:line="600" w:lineRule="exact"/>
              <w:ind w:firstLine="480" w:firstLineChars="200"/>
              <w:jc w:val="left"/>
              <w:textAlignment w:val="auto"/>
              <w:rPr>
                <w:rFonts w:cs="华文仿宋" w:asciiTheme="minorEastAsia" w:hAnsiTheme="minorEastAsia" w:eastAsiaTheme="minorEastAsia"/>
                <w:kern w:val="0"/>
                <w:sz w:val="24"/>
                <w:szCs w:val="24"/>
              </w:rPr>
            </w:pPr>
            <w:r>
              <w:rPr>
                <w:rFonts w:hint="eastAsia" w:cs="华文仿宋" w:asciiTheme="minorEastAsia" w:hAnsiTheme="minorEastAsia" w:eastAsiaTheme="minorEastAsia"/>
                <w:kern w:val="0"/>
                <w:sz w:val="24"/>
                <w:szCs w:val="24"/>
              </w:rPr>
              <w:t>江苏：以承办各级各类重大赛事为突破口，重点培育具有本域特色的汽车自驾运动品牌赛事。广泛开展汽车赛事活动，扩大汽车赛事种类，打造主题鲜明、多样化的赛事产品，形成专业赛事与业余赛事协调发展的良好局面。</w:t>
            </w:r>
          </w:p>
          <w:p>
            <w:pPr>
              <w:pageBreakBefore w:val="0"/>
              <w:kinsoku/>
              <w:wordWrap/>
              <w:overflowPunct/>
              <w:topLinePunct w:val="0"/>
              <w:autoSpaceDE/>
              <w:autoSpaceDN/>
              <w:bidi w:val="0"/>
              <w:adjustRightInd/>
              <w:snapToGrid/>
              <w:spacing w:line="600" w:lineRule="exact"/>
              <w:ind w:firstLine="480" w:firstLineChars="200"/>
              <w:jc w:val="left"/>
              <w:textAlignment w:val="auto"/>
              <w:rPr>
                <w:rFonts w:cs="华文仿宋" w:asciiTheme="minorEastAsia" w:hAnsiTheme="minorEastAsia" w:eastAsiaTheme="minorEastAsia"/>
                <w:kern w:val="0"/>
                <w:sz w:val="24"/>
                <w:szCs w:val="24"/>
              </w:rPr>
            </w:pPr>
            <w:r>
              <w:rPr>
                <w:rFonts w:hint="eastAsia" w:cs="华文仿宋" w:asciiTheme="minorEastAsia" w:hAnsiTheme="minorEastAsia" w:eastAsiaTheme="minorEastAsia"/>
                <w:kern w:val="0"/>
                <w:sz w:val="24"/>
                <w:szCs w:val="24"/>
              </w:rPr>
              <w:t>浙江：以宁波北仑及绍兴柯岩两个国际标准二级赛道为龙头，依托现有汽摩运动场地和各类拉力、越野赛道等，举办场地汽车、汽车越野、场地摩托车等符合大众需求的汽摩赛事，培育国内外知名的汽车、摩托车运动赛事2-3项。</w:t>
            </w:r>
          </w:p>
          <w:p>
            <w:pPr>
              <w:pageBreakBefore w:val="0"/>
              <w:kinsoku/>
              <w:wordWrap/>
              <w:overflowPunct/>
              <w:topLinePunct w:val="0"/>
              <w:autoSpaceDE/>
              <w:autoSpaceDN/>
              <w:bidi w:val="0"/>
              <w:adjustRightInd/>
              <w:snapToGrid/>
              <w:spacing w:line="600" w:lineRule="exact"/>
              <w:ind w:firstLine="480" w:firstLineChars="200"/>
              <w:jc w:val="left"/>
              <w:textAlignment w:val="auto"/>
              <w:rPr>
                <w:rFonts w:asciiTheme="minorEastAsia" w:hAnsiTheme="minorEastAsia"/>
                <w:sz w:val="28"/>
                <w:szCs w:val="28"/>
              </w:rPr>
            </w:pPr>
            <w:r>
              <w:rPr>
                <w:rFonts w:hint="eastAsia" w:cs="华文仿宋" w:asciiTheme="minorEastAsia" w:hAnsiTheme="minorEastAsia" w:eastAsiaTheme="minorEastAsia"/>
                <w:kern w:val="0"/>
                <w:sz w:val="24"/>
                <w:szCs w:val="24"/>
              </w:rPr>
              <w:t>安徽：培育形成以汽车(房车)及露营装备展览、星级营地展示、产业发展论坛、场地越野、河道越野及其他特色活动于一体的长三角汽车露营大会，重点打造芜湖红杨山汽车拉力赛等精品赛事，精心培育汽车露营产业与城市发展良性互动、共赢发展的典范。牵头推进长三角地区汽车越野联赛。</w:t>
            </w:r>
          </w:p>
        </w:tc>
      </w:tr>
    </w:tbl>
    <w:p>
      <w:pPr>
        <w:keepNext w:val="0"/>
        <w:keepLines w:val="0"/>
        <w:pageBreakBefore w:val="0"/>
        <w:widowControl w:val="0"/>
        <w:kinsoku/>
        <w:wordWrap/>
        <w:overflowPunct/>
        <w:topLinePunct w:val="0"/>
        <w:autoSpaceDE/>
        <w:autoSpaceDN/>
        <w:bidi w:val="0"/>
        <w:adjustRightInd/>
        <w:snapToGrid/>
        <w:spacing w:before="157" w:beforeLines="50" w:line="600" w:lineRule="exact"/>
        <w:ind w:firstLine="561" w:firstLineChars="200"/>
        <w:textAlignment w:val="auto"/>
        <w:rPr>
          <w:rFonts w:ascii="Times New Roman" w:hAnsi="Times New Roman" w:eastAsia="华文中宋"/>
          <w:b/>
          <w:bCs/>
          <w:sz w:val="28"/>
          <w:szCs w:val="28"/>
        </w:rPr>
      </w:pPr>
      <w:r>
        <w:rPr>
          <w:rFonts w:hint="eastAsia" w:ascii="Times New Roman" w:hAnsi="Times New Roman" w:eastAsia="华文中宋"/>
          <w:b/>
          <w:bCs/>
          <w:sz w:val="28"/>
          <w:szCs w:val="28"/>
        </w:rPr>
        <w:t>（二）打造汽车运动旅游精品项目</w:t>
      </w:r>
    </w:p>
    <w:p>
      <w:pPr>
        <w:pageBreakBefore w:val="0"/>
        <w:kinsoku/>
        <w:wordWrap/>
        <w:overflowPunct/>
        <w:topLinePunct w:val="0"/>
        <w:bidi w:val="0"/>
        <w:snapToGrid/>
        <w:spacing w:line="600" w:lineRule="exact"/>
        <w:ind w:firstLine="560" w:firstLineChars="200"/>
        <w:textAlignment w:val="auto"/>
        <w:rPr>
          <w:rFonts w:cs="华文仿宋" w:asciiTheme="minorEastAsia" w:hAnsiTheme="minorEastAsia" w:eastAsiaTheme="minorEastAsia"/>
          <w:kern w:val="0"/>
          <w:sz w:val="28"/>
          <w:szCs w:val="28"/>
        </w:rPr>
      </w:pPr>
      <w:r>
        <w:rPr>
          <w:rFonts w:hint="eastAsia" w:ascii="方正仿宋_GB2312" w:hAnsi="方正仿宋_GB2312" w:eastAsia="方正仿宋_GB2312" w:cs="方正仿宋_GB2312"/>
          <w:sz w:val="28"/>
          <w:szCs w:val="28"/>
        </w:rPr>
        <w:t>培育精品旅游线路。</w:t>
      </w:r>
      <w:r>
        <w:rPr>
          <w:rFonts w:cs="华文仿宋" w:asciiTheme="minorEastAsia" w:hAnsiTheme="minorEastAsia" w:eastAsiaTheme="minorEastAsia"/>
          <w:kern w:val="0"/>
          <w:sz w:val="28"/>
          <w:szCs w:val="28"/>
        </w:rPr>
        <w:t>围绕构建全域旅游格局，不断增加汽车自驾运动新产品，持续扩大</w:t>
      </w:r>
      <w:r>
        <w:rPr>
          <w:rFonts w:hint="eastAsia" w:cs="华文仿宋" w:asciiTheme="minorEastAsia" w:hAnsiTheme="minorEastAsia" w:eastAsiaTheme="minorEastAsia"/>
          <w:kern w:val="0"/>
          <w:sz w:val="28"/>
          <w:szCs w:val="28"/>
        </w:rPr>
        <w:t>影响力</w:t>
      </w:r>
      <w:r>
        <w:rPr>
          <w:rFonts w:cs="华文仿宋" w:asciiTheme="minorEastAsia" w:hAnsiTheme="minorEastAsia" w:eastAsiaTheme="minorEastAsia"/>
          <w:kern w:val="0"/>
          <w:sz w:val="28"/>
          <w:szCs w:val="28"/>
        </w:rPr>
        <w:t>。</w:t>
      </w:r>
      <w:r>
        <w:rPr>
          <w:rFonts w:hint="eastAsia" w:cs="华文仿宋" w:asciiTheme="minorEastAsia" w:hAnsiTheme="minorEastAsia" w:eastAsiaTheme="minorEastAsia"/>
          <w:kern w:val="0"/>
          <w:sz w:val="28"/>
          <w:szCs w:val="28"/>
        </w:rPr>
        <w:t>落实国家“三圈三线”汽车自驾路线规划，着力打造长三角汽车自驾运动生态圈。围绕区域内交通干线、旅游环线、名山大川等，培育以F1上海站观赛旅游线路</w:t>
      </w:r>
      <w:r>
        <w:rPr>
          <w:rFonts w:hint="eastAsia" w:cs="华文仿宋" w:asciiTheme="minorEastAsia" w:hAnsiTheme="minorEastAsia" w:eastAsiaTheme="minorEastAsia"/>
          <w:kern w:val="0"/>
          <w:sz w:val="28"/>
          <w:szCs w:val="28"/>
          <w:lang w:eastAsia="zh-CN"/>
        </w:rPr>
        <w:t>、江苏</w:t>
      </w:r>
      <w:r>
        <w:rPr>
          <w:rFonts w:hint="eastAsia" w:cs="华文仿宋" w:asciiTheme="minorEastAsia" w:hAnsiTheme="minorEastAsia" w:eastAsiaTheme="minorEastAsia"/>
          <w:kern w:val="0"/>
          <w:sz w:val="28"/>
          <w:szCs w:val="28"/>
        </w:rPr>
        <w:t>南京江宁美丽乡村穿越线路、</w:t>
      </w:r>
      <w:r>
        <w:rPr>
          <w:rFonts w:hint="eastAsia" w:cs="华文仿宋" w:asciiTheme="minorEastAsia" w:hAnsiTheme="minorEastAsia" w:eastAsiaTheme="minorEastAsia"/>
          <w:kern w:val="0"/>
          <w:sz w:val="28"/>
          <w:szCs w:val="28"/>
          <w:lang w:eastAsia="zh-CN"/>
        </w:rPr>
        <w:t>浙江</w:t>
      </w:r>
      <w:r>
        <w:rPr>
          <w:rFonts w:hint="eastAsia" w:cs="华文仿宋" w:asciiTheme="minorEastAsia" w:hAnsiTheme="minorEastAsia" w:eastAsiaTheme="minorEastAsia"/>
          <w:kern w:val="0"/>
          <w:sz w:val="28"/>
          <w:szCs w:val="28"/>
        </w:rPr>
        <w:t>龙游自驾运动线路、</w:t>
      </w:r>
      <w:r>
        <w:rPr>
          <w:rFonts w:hint="eastAsia" w:cs="华文仿宋" w:asciiTheme="minorEastAsia" w:hAnsiTheme="minorEastAsia" w:eastAsiaTheme="minorEastAsia"/>
          <w:kern w:val="0"/>
          <w:sz w:val="28"/>
          <w:szCs w:val="28"/>
          <w:lang w:eastAsia="zh-CN"/>
        </w:rPr>
        <w:t>安徽</w:t>
      </w:r>
      <w:r>
        <w:rPr>
          <w:rFonts w:hint="eastAsia" w:cs="华文仿宋" w:asciiTheme="minorEastAsia" w:hAnsiTheme="minorEastAsia" w:eastAsiaTheme="minorEastAsia"/>
          <w:kern w:val="0"/>
          <w:sz w:val="28"/>
          <w:szCs w:val="28"/>
        </w:rPr>
        <w:t>道源问道皖北自驾游</w:t>
      </w:r>
      <w:r>
        <w:rPr>
          <w:rFonts w:hint="eastAsia" w:cs="华文仿宋" w:asciiTheme="minorEastAsia" w:hAnsiTheme="minorEastAsia" w:eastAsiaTheme="minorEastAsia"/>
          <w:kern w:val="0"/>
          <w:sz w:val="28"/>
          <w:szCs w:val="28"/>
          <w:lang w:eastAsia="zh-CN"/>
        </w:rPr>
        <w:t>线路</w:t>
      </w:r>
      <w:r>
        <w:rPr>
          <w:rFonts w:hint="eastAsia" w:cs="华文仿宋" w:asciiTheme="minorEastAsia" w:hAnsiTheme="minorEastAsia" w:eastAsiaTheme="minorEastAsia"/>
          <w:kern w:val="0"/>
          <w:sz w:val="28"/>
          <w:szCs w:val="28"/>
        </w:rPr>
        <w:t>等一批精品线路。联合开展汽车自驾运动主题推广和宣传促销，每年评选、发布和推介精品线路，打造统一的长三角汽车自驾运动形象、口号、标识和宣传推广片。</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522" w:type="dxa"/>
          </w:tcPr>
          <w:p>
            <w:pPr>
              <w:pageBreakBefore w:val="0"/>
              <w:kinsoku/>
              <w:wordWrap/>
              <w:overflowPunct/>
              <w:topLinePunct w:val="0"/>
              <w:bidi w:val="0"/>
              <w:snapToGrid/>
              <w:spacing w:before="156" w:beforeLines="50" w:after="156" w:afterLines="50" w:line="600" w:lineRule="exact"/>
              <w:jc w:val="center"/>
              <w:textAlignment w:val="auto"/>
              <w:rPr>
                <w:rFonts w:ascii="楷体" w:hAnsi="楷体" w:eastAsia="楷体" w:cs="华文仿宋"/>
                <w:b/>
                <w:kern w:val="0"/>
                <w:sz w:val="32"/>
                <w:szCs w:val="32"/>
              </w:rPr>
            </w:pPr>
            <w:r>
              <w:rPr>
                <w:rFonts w:hint="eastAsia" w:ascii="楷体" w:hAnsi="楷体" w:eastAsia="楷体" w:cs="华文仿宋"/>
                <w:b/>
                <w:kern w:val="0"/>
                <w:sz w:val="28"/>
                <w:szCs w:val="28"/>
              </w:rPr>
              <w:t>专栏2  打造汽车自驾运动旅游精品线路</w:t>
            </w:r>
          </w:p>
          <w:p>
            <w:pPr>
              <w:pageBreakBefore w:val="0"/>
              <w:kinsoku/>
              <w:wordWrap/>
              <w:overflowPunct/>
              <w:topLinePunct w:val="0"/>
              <w:bidi w:val="0"/>
              <w:snapToGrid/>
              <w:spacing w:line="600" w:lineRule="exact"/>
              <w:ind w:firstLine="480" w:firstLineChars="200"/>
              <w:textAlignment w:val="auto"/>
              <w:rPr>
                <w:rFonts w:cs="华文仿宋" w:asciiTheme="minorEastAsia" w:hAnsiTheme="minorEastAsia" w:eastAsiaTheme="minorEastAsia"/>
                <w:kern w:val="0"/>
                <w:sz w:val="24"/>
                <w:szCs w:val="24"/>
              </w:rPr>
            </w:pPr>
            <w:r>
              <w:rPr>
                <w:rFonts w:hint="eastAsia" w:cs="华文仿宋" w:asciiTheme="minorEastAsia" w:hAnsiTheme="minorEastAsia" w:eastAsiaTheme="minorEastAsia"/>
                <w:kern w:val="0"/>
                <w:sz w:val="24"/>
                <w:szCs w:val="24"/>
              </w:rPr>
              <w:t>围绕长三角地区交通干线、户外运动网、旅游环线、交通集散地，充分利用山川、河流、地貌资源，着力策划汽车自驾与体育旅游深度融合的汽车自驾运动精品线路，重点打造一批高水平、高质量的汽车自驾运动线路。</w:t>
            </w:r>
          </w:p>
          <w:p>
            <w:pPr>
              <w:pageBreakBefore w:val="0"/>
              <w:kinsoku/>
              <w:wordWrap/>
              <w:overflowPunct/>
              <w:topLinePunct w:val="0"/>
              <w:bidi w:val="0"/>
              <w:snapToGrid/>
              <w:spacing w:line="600" w:lineRule="exact"/>
              <w:ind w:firstLine="480" w:firstLineChars="200"/>
              <w:textAlignment w:val="auto"/>
              <w:rPr>
                <w:rFonts w:cs="方正仿宋_GBK" w:asciiTheme="minorEastAsia" w:hAnsiTheme="minorEastAsia" w:eastAsiaTheme="minorEastAsia"/>
                <w:sz w:val="24"/>
                <w:szCs w:val="24"/>
              </w:rPr>
            </w:pPr>
            <w:r>
              <w:rPr>
                <w:rFonts w:hint="eastAsia" w:cs="方正仿宋_GBK" w:asciiTheme="minorEastAsia" w:hAnsiTheme="minorEastAsia" w:eastAsiaTheme="minorEastAsia"/>
                <w:sz w:val="24"/>
                <w:szCs w:val="24"/>
              </w:rPr>
              <w:t>上海：F1上海站观赛旅游线路。</w:t>
            </w:r>
          </w:p>
          <w:p>
            <w:pPr>
              <w:pageBreakBefore w:val="0"/>
              <w:kinsoku/>
              <w:wordWrap/>
              <w:overflowPunct/>
              <w:topLinePunct w:val="0"/>
              <w:bidi w:val="0"/>
              <w:snapToGrid/>
              <w:spacing w:line="600" w:lineRule="exact"/>
              <w:ind w:firstLine="480" w:firstLineChars="200"/>
              <w:textAlignment w:val="auto"/>
              <w:rPr>
                <w:rFonts w:cs="方正仿宋_GBK" w:asciiTheme="minorEastAsia" w:hAnsiTheme="minorEastAsia"/>
                <w:sz w:val="24"/>
                <w:szCs w:val="24"/>
              </w:rPr>
            </w:pPr>
            <w:r>
              <w:rPr>
                <w:rFonts w:hint="eastAsia" w:cs="方正仿宋_GBK" w:asciiTheme="minorEastAsia" w:hAnsiTheme="minorEastAsia" w:eastAsiaTheme="minorEastAsia"/>
                <w:sz w:val="24"/>
                <w:szCs w:val="24"/>
              </w:rPr>
              <w:t>江苏：南京江宁美丽乡村穿越线路、</w:t>
            </w:r>
            <w:r>
              <w:fldChar w:fldCharType="begin"/>
            </w:r>
            <w:r>
              <w:instrText xml:space="preserve"> HYPERLINK "http://h5.eqxiu.com/ls/a0LRl3sc" \t "http://www.autosports.org.cn/bulletin/2019/0924/_blank" </w:instrText>
            </w:r>
            <w:r>
              <w:fldChar w:fldCharType="separate"/>
            </w:r>
            <w:r>
              <w:rPr>
                <w:rFonts w:cs="方正仿宋_GBK"/>
                <w:sz w:val="24"/>
                <w:szCs w:val="24"/>
              </w:rPr>
              <w:t>江苏大运河沿线房车营地自驾线路</w:t>
            </w:r>
            <w:r>
              <w:rPr>
                <w:rFonts w:cs="方正仿宋_GBK"/>
                <w:sz w:val="24"/>
                <w:szCs w:val="24"/>
              </w:rPr>
              <w:fldChar w:fldCharType="end"/>
            </w:r>
            <w:r>
              <w:rPr>
                <w:rFonts w:hint="eastAsia" w:cs="方正仿宋_GBK"/>
                <w:sz w:val="24"/>
                <w:szCs w:val="24"/>
              </w:rPr>
              <w:t>。</w:t>
            </w:r>
          </w:p>
          <w:p>
            <w:pPr>
              <w:pageBreakBefore w:val="0"/>
              <w:kinsoku/>
              <w:wordWrap/>
              <w:overflowPunct/>
              <w:topLinePunct w:val="0"/>
              <w:bidi w:val="0"/>
              <w:snapToGrid/>
              <w:spacing w:line="600" w:lineRule="exact"/>
              <w:ind w:firstLine="480" w:firstLineChars="200"/>
              <w:textAlignment w:val="auto"/>
              <w:rPr>
                <w:rFonts w:cs="方正仿宋_GBK" w:asciiTheme="minorEastAsia" w:hAnsiTheme="minorEastAsia"/>
                <w:sz w:val="24"/>
                <w:szCs w:val="24"/>
              </w:rPr>
            </w:pPr>
            <w:r>
              <w:rPr>
                <w:rFonts w:hint="eastAsia" w:cs="方正仿宋_GBK" w:asciiTheme="minorEastAsia" w:hAnsiTheme="minorEastAsia" w:eastAsiaTheme="minorEastAsia"/>
                <w:sz w:val="24"/>
                <w:szCs w:val="24"/>
              </w:rPr>
              <w:t>浙江：龙游自驾运动线路、象山白岩山极限运动自驾游、逐梦仙居体育旅游休闲线路、千岛湖绿道休闲线路、</w:t>
            </w:r>
            <w:r>
              <w:rPr>
                <w:rFonts w:hint="eastAsia"/>
                <w:sz w:val="24"/>
                <w:szCs w:val="24"/>
              </w:rPr>
              <w:t>嘉兴市盐官旅游度假区运动休闲旅游线路。</w:t>
            </w:r>
          </w:p>
          <w:p>
            <w:pPr>
              <w:pageBreakBefore w:val="0"/>
              <w:kinsoku/>
              <w:wordWrap/>
              <w:overflowPunct/>
              <w:topLinePunct w:val="0"/>
              <w:bidi w:val="0"/>
              <w:snapToGrid/>
              <w:spacing w:line="600" w:lineRule="exact"/>
              <w:ind w:firstLine="480" w:firstLineChars="200"/>
              <w:textAlignment w:val="auto"/>
              <w:rPr>
                <w:rFonts w:cs="华文仿宋" w:asciiTheme="minorEastAsia" w:hAnsiTheme="minorEastAsia" w:eastAsiaTheme="minorEastAsia"/>
                <w:kern w:val="0"/>
                <w:sz w:val="28"/>
                <w:szCs w:val="28"/>
              </w:rPr>
            </w:pPr>
            <w:r>
              <w:rPr>
                <w:rFonts w:hint="eastAsia" w:cs="方正仿宋_GBK" w:asciiTheme="minorEastAsia" w:hAnsiTheme="minorEastAsia" w:eastAsiaTheme="minorEastAsia"/>
                <w:sz w:val="24"/>
                <w:szCs w:val="24"/>
              </w:rPr>
              <w:t>安徽：徽州自驾游线路、皖南“川藏线”自驾游线路、</w:t>
            </w:r>
            <w:r>
              <w:rPr>
                <w:rFonts w:cs="方正仿宋_GBK" w:asciiTheme="minorEastAsia" w:hAnsiTheme="minorEastAsia" w:eastAsiaTheme="minorEastAsia"/>
                <w:sz w:val="24"/>
                <w:szCs w:val="24"/>
              </w:rPr>
              <w:t>皖南红色之旅自驾游线路</w:t>
            </w:r>
            <w:r>
              <w:rPr>
                <w:rFonts w:hint="eastAsia" w:cs="方正仿宋_GBK" w:asciiTheme="minorEastAsia" w:hAnsiTheme="minorEastAsia" w:eastAsiaTheme="minorEastAsia"/>
                <w:sz w:val="24"/>
                <w:szCs w:val="24"/>
              </w:rPr>
              <w:t>、最美“218”自驾线路、道源问道皖北自驾游线路、金寨马丁公路自驾线路、新安江滨水体育旅游线路、</w:t>
            </w:r>
            <w:r>
              <w:rPr>
                <w:rFonts w:hint="eastAsia" w:ascii="宋体" w:hAnsi="宋体" w:cs="方正仿宋_GBK"/>
                <w:sz w:val="24"/>
                <w:szCs w:val="24"/>
              </w:rPr>
              <w:t>安庆黄梅故里自驾旅游线路。</w:t>
            </w:r>
          </w:p>
        </w:tc>
      </w:tr>
    </w:tbl>
    <w:p>
      <w:pPr>
        <w:pageBreakBefore w:val="0"/>
        <w:kinsoku/>
        <w:wordWrap/>
        <w:overflowPunct/>
        <w:topLinePunct w:val="0"/>
        <w:bidi w:val="0"/>
        <w:snapToGrid/>
        <w:spacing w:line="600" w:lineRule="exact"/>
        <w:ind w:firstLine="560" w:firstLineChars="200"/>
        <w:jc w:val="left"/>
        <w:textAlignment w:val="auto"/>
        <w:rPr>
          <w:rFonts w:cs="FZFSK--GBK1-0" w:asciiTheme="minorEastAsia" w:hAnsiTheme="minorEastAsia" w:eastAsiaTheme="minorEastAsia"/>
          <w:kern w:val="0"/>
          <w:sz w:val="28"/>
          <w:szCs w:val="28"/>
        </w:rPr>
      </w:pPr>
      <w:r>
        <w:rPr>
          <w:rFonts w:hint="eastAsia" w:ascii="方正仿宋_GB2312" w:hAnsi="方正仿宋_GB2312" w:eastAsia="方正仿宋_GB2312" w:cs="方正仿宋_GB2312"/>
          <w:sz w:val="28"/>
          <w:szCs w:val="28"/>
        </w:rPr>
        <w:t>形成精品产业集聚带。</w:t>
      </w:r>
      <w:r>
        <w:rPr>
          <w:rFonts w:hint="eastAsia" w:cs="FZFSK--GBK1-0" w:asciiTheme="minorEastAsia" w:hAnsiTheme="minorEastAsia" w:eastAsiaTheme="minorEastAsia"/>
          <w:kern w:val="0"/>
          <w:sz w:val="28"/>
          <w:szCs w:val="28"/>
        </w:rPr>
        <w:t>依托长三角</w:t>
      </w:r>
      <w:r>
        <w:rPr>
          <w:rFonts w:cs="FZFSK--GBK1-0" w:asciiTheme="minorEastAsia" w:hAnsiTheme="minorEastAsia" w:eastAsiaTheme="minorEastAsia"/>
          <w:kern w:val="0"/>
          <w:sz w:val="28"/>
          <w:szCs w:val="28"/>
        </w:rPr>
        <w:t>地区的</w:t>
      </w:r>
      <w:r>
        <w:rPr>
          <w:rFonts w:hint="eastAsia" w:cs="FZFSK--GBK1-0" w:asciiTheme="minorEastAsia" w:hAnsiTheme="minorEastAsia" w:eastAsiaTheme="minorEastAsia"/>
          <w:kern w:val="0"/>
          <w:sz w:val="28"/>
          <w:szCs w:val="28"/>
        </w:rPr>
        <w:t>山脉、河流和地形地带资源，结合不同文化地域特色，打造</w:t>
      </w:r>
      <w:r>
        <w:rPr>
          <w:rFonts w:cs="FZFSK--GBK1-0" w:asciiTheme="minorEastAsia" w:hAnsiTheme="minorEastAsia" w:eastAsiaTheme="minorEastAsia"/>
          <w:kern w:val="0"/>
          <w:sz w:val="28"/>
          <w:szCs w:val="28"/>
        </w:rPr>
        <w:t>不同主题的汽车运动</w:t>
      </w:r>
      <w:r>
        <w:rPr>
          <w:rFonts w:hint="eastAsia"/>
          <w:sz w:val="28"/>
          <w:szCs w:val="28"/>
        </w:rPr>
        <w:t>产业集聚带。</w:t>
      </w:r>
      <w:r>
        <w:rPr>
          <w:rFonts w:hint="eastAsia" w:asciiTheme="minorEastAsia" w:hAnsiTheme="minorEastAsia" w:eastAsiaTheme="minorEastAsia"/>
          <w:bCs/>
          <w:sz w:val="28"/>
          <w:szCs w:val="28"/>
        </w:rPr>
        <w:t>以黄山</w:t>
      </w:r>
      <w:r>
        <w:rPr>
          <w:rFonts w:asciiTheme="minorEastAsia" w:hAnsiTheme="minorEastAsia" w:eastAsiaTheme="minorEastAsia"/>
          <w:bCs/>
          <w:sz w:val="28"/>
          <w:szCs w:val="28"/>
        </w:rPr>
        <w:t>、</w:t>
      </w:r>
      <w:r>
        <w:rPr>
          <w:rFonts w:hint="eastAsia" w:asciiTheme="minorEastAsia" w:hAnsiTheme="minorEastAsia" w:eastAsiaTheme="minorEastAsia"/>
          <w:bCs/>
          <w:sz w:val="28"/>
          <w:szCs w:val="28"/>
        </w:rPr>
        <w:t>天柱山</w:t>
      </w:r>
      <w:r>
        <w:rPr>
          <w:rFonts w:asciiTheme="minorEastAsia" w:hAnsiTheme="minorEastAsia" w:eastAsiaTheme="minorEastAsia"/>
          <w:bCs/>
          <w:sz w:val="28"/>
          <w:szCs w:val="28"/>
        </w:rPr>
        <w:t>、</w:t>
      </w:r>
      <w:r>
        <w:rPr>
          <w:rFonts w:hint="eastAsia" w:asciiTheme="minorEastAsia" w:hAnsiTheme="minorEastAsia" w:eastAsiaTheme="minorEastAsia"/>
          <w:bCs/>
          <w:sz w:val="28"/>
          <w:szCs w:val="28"/>
        </w:rPr>
        <w:t>牛首山、佘山、雁荡山</w:t>
      </w:r>
      <w:r>
        <w:rPr>
          <w:rFonts w:hint="eastAsia" w:cs="FZFSK--GBK1-0" w:asciiTheme="minorEastAsia" w:hAnsiTheme="minorEastAsia" w:eastAsiaTheme="minorEastAsia"/>
          <w:kern w:val="0"/>
          <w:sz w:val="28"/>
          <w:szCs w:val="28"/>
        </w:rPr>
        <w:t>等山川资源为主要集聚区，重点打造以刺激冒险为主题的</w:t>
      </w:r>
      <w:r>
        <w:rPr>
          <w:rFonts w:cs="FZFSK--GBK1-0" w:asciiTheme="minorEastAsia" w:hAnsiTheme="minorEastAsia" w:eastAsiaTheme="minorEastAsia"/>
          <w:kern w:val="0"/>
          <w:sz w:val="28"/>
          <w:szCs w:val="28"/>
        </w:rPr>
        <w:t>汽车运动</w:t>
      </w:r>
      <w:r>
        <w:rPr>
          <w:rFonts w:hint="eastAsia" w:cs="FZFSK--GBK1-0" w:asciiTheme="minorEastAsia" w:hAnsiTheme="minorEastAsia" w:eastAsiaTheme="minorEastAsia"/>
          <w:kern w:val="0"/>
          <w:sz w:val="28"/>
          <w:szCs w:val="28"/>
        </w:rPr>
        <w:t>产业集聚带</w:t>
      </w:r>
      <w:r>
        <w:rPr>
          <w:rFonts w:asciiTheme="minorEastAsia" w:hAnsiTheme="minorEastAsia" w:eastAsiaTheme="minorEastAsia"/>
          <w:bCs/>
          <w:sz w:val="28"/>
          <w:szCs w:val="28"/>
        </w:rPr>
        <w:t>；以</w:t>
      </w:r>
      <w:r>
        <w:rPr>
          <w:rFonts w:hint="eastAsia" w:cs="FZFSK--GBK1-0" w:asciiTheme="minorEastAsia" w:hAnsiTheme="minorEastAsia" w:eastAsiaTheme="minorEastAsia"/>
          <w:kern w:val="0"/>
          <w:sz w:val="28"/>
          <w:szCs w:val="28"/>
        </w:rPr>
        <w:t>长江、淮河、钱塘江</w:t>
      </w:r>
      <w:r>
        <w:rPr>
          <w:rFonts w:cs="FZFSK--GBK1-0" w:asciiTheme="minorEastAsia" w:hAnsiTheme="minorEastAsia" w:eastAsiaTheme="minorEastAsia"/>
          <w:kern w:val="0"/>
          <w:sz w:val="28"/>
          <w:szCs w:val="28"/>
        </w:rPr>
        <w:t>、黄浦江</w:t>
      </w:r>
      <w:r>
        <w:rPr>
          <w:rFonts w:hint="eastAsia" w:cs="FZFSK--GBK1-0" w:asciiTheme="minorEastAsia" w:hAnsiTheme="minorEastAsia" w:eastAsiaTheme="minorEastAsia"/>
          <w:kern w:val="0"/>
          <w:sz w:val="28"/>
          <w:szCs w:val="28"/>
        </w:rPr>
        <w:t>等河流资源为主要集聚区，重点打造以运动休闲为主题的</w:t>
      </w:r>
      <w:r>
        <w:rPr>
          <w:rFonts w:cs="FZFSK--GBK1-0" w:asciiTheme="minorEastAsia" w:hAnsiTheme="minorEastAsia" w:eastAsiaTheme="minorEastAsia"/>
          <w:kern w:val="0"/>
          <w:sz w:val="28"/>
          <w:szCs w:val="28"/>
        </w:rPr>
        <w:t>汽车运动</w:t>
      </w:r>
      <w:r>
        <w:rPr>
          <w:rFonts w:hint="eastAsia" w:cs="FZFSK--GBK1-0" w:asciiTheme="minorEastAsia" w:hAnsiTheme="minorEastAsia" w:eastAsiaTheme="minorEastAsia"/>
          <w:kern w:val="0"/>
          <w:sz w:val="28"/>
          <w:szCs w:val="28"/>
        </w:rPr>
        <w:t>产业集聚带；以台地、丘陵和河谷平原地带为主要集聚区，重点打造以家庭休闲为主题的</w:t>
      </w:r>
      <w:r>
        <w:rPr>
          <w:rFonts w:cs="FZFSK--GBK1-0" w:asciiTheme="minorEastAsia" w:hAnsiTheme="minorEastAsia" w:eastAsiaTheme="minorEastAsia"/>
          <w:kern w:val="0"/>
          <w:sz w:val="28"/>
          <w:szCs w:val="28"/>
        </w:rPr>
        <w:t>汽车运动</w:t>
      </w:r>
      <w:r>
        <w:rPr>
          <w:rFonts w:hint="eastAsia" w:cs="FZFSK--GBK1-0" w:asciiTheme="minorEastAsia" w:hAnsiTheme="minorEastAsia" w:eastAsiaTheme="minorEastAsia"/>
          <w:kern w:val="0"/>
          <w:sz w:val="28"/>
          <w:szCs w:val="28"/>
        </w:rPr>
        <w:t>产业集聚带。</w:t>
      </w:r>
    </w:p>
    <w:p>
      <w:pPr>
        <w:pageBreakBefore w:val="0"/>
        <w:kinsoku/>
        <w:wordWrap/>
        <w:overflowPunct/>
        <w:topLinePunct w:val="0"/>
        <w:bidi w:val="0"/>
        <w:snapToGrid/>
        <w:spacing w:line="600" w:lineRule="exact"/>
        <w:ind w:firstLine="560" w:firstLineChars="200"/>
        <w:textAlignment w:val="auto"/>
        <w:rPr>
          <w:rFonts w:cs="方正仿宋_GBK" w:asciiTheme="minorEastAsia" w:hAnsiTheme="minorEastAsia" w:eastAsiaTheme="minorEastAsia"/>
          <w:sz w:val="28"/>
          <w:szCs w:val="28"/>
        </w:rPr>
      </w:pPr>
      <w:r>
        <w:rPr>
          <w:rFonts w:hint="eastAsia" w:ascii="方正仿宋_GB2312" w:hAnsi="方正仿宋_GB2312" w:eastAsia="方正仿宋_GB2312" w:cs="方正仿宋_GB2312"/>
          <w:sz w:val="28"/>
          <w:szCs w:val="28"/>
        </w:rPr>
        <w:t>打造精品旅游目的地。</w:t>
      </w:r>
      <w:r>
        <w:rPr>
          <w:rFonts w:hint="eastAsia" w:asciiTheme="minorEastAsia" w:hAnsiTheme="minorEastAsia" w:eastAsiaTheme="minorEastAsia"/>
          <w:sz w:val="28"/>
          <w:szCs w:val="28"/>
        </w:rPr>
        <w:t>串联长三角的旅游景区和旅游要素，设计满足不同旅游目的、出游时间和体验类型的汽车运动精品旅游目的地。重点以上海</w:t>
      </w:r>
      <w:r>
        <w:rPr>
          <w:rFonts w:hint="eastAsia"/>
          <w:sz w:val="28"/>
          <w:szCs w:val="28"/>
        </w:rPr>
        <w:t>佘山国家旅游度假区、江苏宜兴市、浙江杭州市桐庐纪龙山神仙峰运动休闲旅游基地、安徽黄山市黄山区等</w:t>
      </w:r>
      <w:r>
        <w:rPr>
          <w:sz w:val="28"/>
          <w:szCs w:val="28"/>
        </w:rPr>
        <w:t>为示范，打造综合型的汽车旅游体验目的地；</w:t>
      </w:r>
      <w:r>
        <w:rPr>
          <w:rFonts w:hint="eastAsia"/>
          <w:sz w:val="28"/>
          <w:szCs w:val="28"/>
        </w:rPr>
        <w:t>以上海东方绿舟景区、江苏江阴飞马水城、浙江温州永嘉大若岩百丈瀑景区、安徽绩溪徽杭古道景区等</w:t>
      </w:r>
      <w:r>
        <w:rPr>
          <w:sz w:val="28"/>
          <w:szCs w:val="28"/>
        </w:rPr>
        <w:t>为示范，打造单项型的汽车旅游</w:t>
      </w:r>
      <w:r>
        <w:rPr>
          <w:rFonts w:hint="eastAsia"/>
          <w:sz w:val="28"/>
          <w:szCs w:val="28"/>
        </w:rPr>
        <w:t>体验</w:t>
      </w:r>
      <w:r>
        <w:rPr>
          <w:sz w:val="28"/>
          <w:szCs w:val="28"/>
        </w:rPr>
        <w:t>目的地</w:t>
      </w:r>
      <w:r>
        <w:rPr>
          <w:rFonts w:hint="eastAsia"/>
          <w:sz w:val="28"/>
          <w:szCs w:val="28"/>
        </w:rPr>
        <w:t>。</w:t>
      </w:r>
    </w:p>
    <w:p>
      <w:pPr>
        <w:pageBreakBefore w:val="0"/>
        <w:kinsoku/>
        <w:wordWrap/>
        <w:overflowPunct/>
        <w:topLinePunct w:val="0"/>
        <w:bidi w:val="0"/>
        <w:snapToGrid/>
        <w:spacing w:line="600" w:lineRule="exact"/>
        <w:ind w:firstLine="561" w:firstLineChars="200"/>
        <w:textAlignment w:val="auto"/>
        <w:rPr>
          <w:rFonts w:ascii="Times New Roman" w:hAnsi="Times New Roman" w:eastAsia="华文中宋"/>
          <w:b/>
          <w:bCs/>
          <w:sz w:val="28"/>
          <w:szCs w:val="28"/>
        </w:rPr>
      </w:pPr>
      <w:r>
        <w:rPr>
          <w:rFonts w:hint="eastAsia" w:ascii="Times New Roman" w:hAnsi="Times New Roman" w:eastAsia="华文中宋"/>
          <w:b/>
          <w:bCs/>
          <w:sz w:val="28"/>
          <w:szCs w:val="28"/>
        </w:rPr>
        <w:t>（三）加快推进汽车运动营地建设</w:t>
      </w:r>
    </w:p>
    <w:p>
      <w:pPr>
        <w:pageBreakBefore w:val="0"/>
        <w:kinsoku/>
        <w:wordWrap/>
        <w:overflowPunct/>
        <w:topLinePunct w:val="0"/>
        <w:bidi w:val="0"/>
        <w:snapToGrid/>
        <w:spacing w:line="600" w:lineRule="exact"/>
        <w:ind w:firstLine="560" w:firstLineChars="200"/>
        <w:textAlignment w:val="auto"/>
        <w:rPr>
          <w:rFonts w:asciiTheme="minorEastAsia" w:hAnsiTheme="minorEastAsia" w:eastAsiaTheme="minorEastAsia"/>
          <w:sz w:val="28"/>
          <w:szCs w:val="28"/>
        </w:rPr>
      </w:pPr>
      <w:r>
        <w:rPr>
          <w:rFonts w:hint="eastAsia" w:ascii="方正仿宋_GB2312" w:hAnsi="方正仿宋_GB2312" w:eastAsia="方正仿宋_GB2312" w:cs="方正仿宋_GB2312"/>
          <w:sz w:val="28"/>
          <w:szCs w:val="28"/>
        </w:rPr>
        <w:t>完善营地空间布局。</w:t>
      </w:r>
      <w:r>
        <w:rPr>
          <w:rFonts w:hint="eastAsia" w:cs="FZFSK--GBK1-0" w:asciiTheme="minorEastAsia" w:hAnsiTheme="minorEastAsia" w:eastAsiaTheme="minorEastAsia"/>
          <w:kern w:val="0"/>
          <w:sz w:val="28"/>
          <w:szCs w:val="28"/>
        </w:rPr>
        <w:t>围绕“一带一路”、长江经济带等国家战略，</w:t>
      </w:r>
      <w:r>
        <w:rPr>
          <w:rFonts w:hint="eastAsia" w:cs="华文仿宋" w:asciiTheme="minorEastAsia" w:hAnsiTheme="minorEastAsia" w:eastAsiaTheme="minorEastAsia"/>
          <w:kern w:val="0"/>
          <w:sz w:val="28"/>
          <w:szCs w:val="28"/>
        </w:rPr>
        <w:t>优化长三角汽车自驾运动营地空间布局，围绕自驾线路建立营地网络，实现协同发展。规划建设不同类型、不同档次、主题突出的汽车自驾运动营地，重点培育一批适应赛事活动需要的精品赛场赛道。突出区域特色，引导营地建设主体因地制宜，重点打造一批具有核心竞争力的汽车自驾运动营地。</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1" w:hRule="atLeast"/>
          <w:jc w:val="center"/>
        </w:trPr>
        <w:tc>
          <w:tcPr>
            <w:tcW w:w="8522" w:type="dxa"/>
          </w:tcPr>
          <w:p>
            <w:pPr>
              <w:pageBreakBefore w:val="0"/>
              <w:kinsoku/>
              <w:wordWrap/>
              <w:overflowPunct/>
              <w:topLinePunct w:val="0"/>
              <w:bidi w:val="0"/>
              <w:snapToGrid/>
              <w:spacing w:before="156" w:beforeLines="50" w:after="156" w:afterLines="50" w:line="600" w:lineRule="exact"/>
              <w:jc w:val="center"/>
              <w:textAlignment w:val="auto"/>
              <w:rPr>
                <w:rFonts w:ascii="楷体" w:hAnsi="楷体" w:eastAsia="楷体" w:cs="华文仿宋"/>
                <w:b/>
                <w:kern w:val="0"/>
                <w:sz w:val="28"/>
                <w:szCs w:val="28"/>
              </w:rPr>
            </w:pPr>
            <w:r>
              <w:rPr>
                <w:rFonts w:ascii="楷体" w:hAnsi="楷体" w:eastAsia="楷体" w:cs="华文仿宋"/>
                <w:b/>
                <w:kern w:val="0"/>
                <w:sz w:val="28"/>
                <w:szCs w:val="28"/>
              </w:rPr>
              <w:t>专栏</w:t>
            </w:r>
            <w:r>
              <w:rPr>
                <w:rFonts w:hint="eastAsia" w:ascii="楷体" w:hAnsi="楷体" w:eastAsia="楷体" w:cs="华文仿宋"/>
                <w:b/>
                <w:kern w:val="0"/>
                <w:sz w:val="28"/>
                <w:szCs w:val="28"/>
              </w:rPr>
              <w:t>3 打造</w:t>
            </w:r>
            <w:r>
              <w:rPr>
                <w:rFonts w:ascii="楷体" w:hAnsi="楷体" w:eastAsia="楷体" w:cs="华文仿宋"/>
                <w:b/>
                <w:kern w:val="0"/>
                <w:sz w:val="28"/>
                <w:szCs w:val="28"/>
              </w:rPr>
              <w:t>汽车自驾运动营地产品群</w:t>
            </w:r>
          </w:p>
          <w:p>
            <w:pPr>
              <w:pageBreakBefore w:val="0"/>
              <w:kinsoku/>
              <w:wordWrap/>
              <w:overflowPunct/>
              <w:topLinePunct w:val="0"/>
              <w:bidi w:val="0"/>
              <w:snapToGrid/>
              <w:spacing w:line="600" w:lineRule="exact"/>
              <w:ind w:firstLine="480" w:firstLineChars="200"/>
              <w:textAlignment w:val="auto"/>
              <w:rPr>
                <w:rFonts w:cs="方正仿宋_GBK" w:asciiTheme="minorEastAsia" w:hAnsiTheme="minorEastAsia" w:eastAsiaTheme="minorEastAsia"/>
                <w:sz w:val="24"/>
                <w:szCs w:val="24"/>
              </w:rPr>
            </w:pPr>
            <w:r>
              <w:rPr>
                <w:rFonts w:hint="eastAsia" w:cs="方正仿宋_GBK" w:asciiTheme="minorEastAsia" w:hAnsiTheme="minorEastAsia" w:eastAsiaTheme="minorEastAsia"/>
                <w:sz w:val="24"/>
                <w:szCs w:val="24"/>
              </w:rPr>
              <w:t>进一步完善长三角汽车自驾运动营地空间布局，重点打造一批特色突出、功能完善、服务规范、具有区域核心竞争力的汽车自驾运动营地。</w:t>
            </w:r>
          </w:p>
          <w:p>
            <w:pPr>
              <w:pageBreakBefore w:val="0"/>
              <w:kinsoku/>
              <w:wordWrap/>
              <w:overflowPunct/>
              <w:topLinePunct w:val="0"/>
              <w:bidi w:val="0"/>
              <w:snapToGrid/>
              <w:spacing w:line="600" w:lineRule="exact"/>
              <w:ind w:firstLine="480" w:firstLineChars="200"/>
              <w:textAlignment w:val="auto"/>
              <w:rPr>
                <w:rFonts w:cs="方正仿宋_GBK" w:asciiTheme="minorEastAsia" w:hAnsiTheme="minorEastAsia" w:eastAsiaTheme="minorEastAsia"/>
                <w:sz w:val="24"/>
                <w:szCs w:val="24"/>
              </w:rPr>
            </w:pPr>
            <w:r>
              <w:rPr>
                <w:rFonts w:hint="eastAsia" w:cs="方正仿宋_GBK" w:asciiTheme="minorEastAsia" w:hAnsiTheme="minorEastAsia" w:eastAsiaTheme="minorEastAsia"/>
                <w:sz w:val="24"/>
                <w:szCs w:val="24"/>
              </w:rPr>
              <w:t>上海：上海路程房车营地、上海海湾房车露营地、上海小木屋会务中心房车营地、澄湖飞行营地(上海)房车运动营地、雷氏福德堡(上海)休闲康养房车露营地。</w:t>
            </w:r>
          </w:p>
          <w:p>
            <w:pPr>
              <w:pageBreakBefore w:val="0"/>
              <w:kinsoku/>
              <w:wordWrap/>
              <w:overflowPunct/>
              <w:topLinePunct w:val="0"/>
              <w:bidi w:val="0"/>
              <w:snapToGrid/>
              <w:spacing w:line="600" w:lineRule="exact"/>
              <w:ind w:firstLine="480" w:firstLineChars="200"/>
              <w:textAlignment w:val="auto"/>
              <w:rPr>
                <w:rFonts w:cs="方正仿宋_GBK" w:asciiTheme="minorEastAsia" w:hAnsiTheme="minorEastAsia" w:eastAsiaTheme="minorEastAsia"/>
                <w:sz w:val="24"/>
                <w:szCs w:val="24"/>
              </w:rPr>
            </w:pPr>
            <w:r>
              <w:rPr>
                <w:rFonts w:hint="eastAsia" w:cs="方正仿宋_GBK" w:asciiTheme="minorEastAsia" w:hAnsiTheme="minorEastAsia" w:eastAsiaTheme="minorEastAsia"/>
                <w:sz w:val="24"/>
                <w:szCs w:val="24"/>
              </w:rPr>
              <w:t>江苏：常州太湖湾露营谷、途居南通开沙岛露营地、途居扬州瓜州露营地、途居镇江圌山露营地、南京汤山温泉房车营地、南京朱门国际露营地度假村、宿迁大河云天自驾车（房车）露营地、盐城大纵湖绿丘房车露营基地、金山湖国际房车露营地、徐州茱萸养生谷房车露营地、淮安天泉湖蓝莓谷庄园汽车自驾营地。</w:t>
            </w:r>
          </w:p>
          <w:p>
            <w:pPr>
              <w:pageBreakBefore w:val="0"/>
              <w:kinsoku/>
              <w:wordWrap/>
              <w:overflowPunct/>
              <w:topLinePunct w:val="0"/>
              <w:bidi w:val="0"/>
              <w:snapToGrid/>
              <w:spacing w:line="600" w:lineRule="exact"/>
              <w:ind w:firstLine="480" w:firstLineChars="200"/>
              <w:textAlignment w:val="auto"/>
              <w:rPr>
                <w:rFonts w:cs="方正仿宋_GBK" w:asciiTheme="minorEastAsia" w:hAnsiTheme="minorEastAsia" w:eastAsiaTheme="minorEastAsia"/>
                <w:sz w:val="24"/>
                <w:szCs w:val="24"/>
              </w:rPr>
            </w:pPr>
            <w:r>
              <w:rPr>
                <w:rFonts w:hint="eastAsia" w:cs="方正仿宋_GBK" w:asciiTheme="minorEastAsia" w:hAnsiTheme="minorEastAsia" w:eastAsiaTheme="minorEastAsia"/>
                <w:sz w:val="24"/>
                <w:szCs w:val="24"/>
              </w:rPr>
              <w:t>浙江：横店圆明新园露营基地、楠溪江国际房车露营基地、赛达自驾运动营地、盐官芳草青青汽车运动营地、上水房车运动营地、杭州湘湖房车露营岛、桐乡慕云凯撒运动营地、西口徐凫岩运动营地、久祺国际骑行(房车露营)营地、淳安石林营地、宁波东钱湖上水帐篷营地、祥生春风十里小镇(房车营地)、天门山户外运动休闲基地、江山市青少年素质教育拓展中心营地。</w:t>
            </w:r>
          </w:p>
          <w:p>
            <w:pPr>
              <w:pageBreakBefore w:val="0"/>
              <w:kinsoku/>
              <w:wordWrap/>
              <w:overflowPunct/>
              <w:topLinePunct w:val="0"/>
              <w:bidi w:val="0"/>
              <w:snapToGrid/>
              <w:spacing w:line="600" w:lineRule="exact"/>
              <w:ind w:firstLine="480" w:firstLineChars="200"/>
              <w:jc w:val="left"/>
              <w:textAlignment w:val="auto"/>
              <w:rPr>
                <w:rFonts w:cs="FZFSK--GBK1-0" w:asciiTheme="minorEastAsia" w:hAnsiTheme="minorEastAsia" w:eastAsiaTheme="minorEastAsia"/>
                <w:kern w:val="0"/>
                <w:sz w:val="28"/>
                <w:szCs w:val="28"/>
              </w:rPr>
            </w:pPr>
            <w:r>
              <w:rPr>
                <w:rFonts w:hint="eastAsia" w:cs="方正仿宋_GBK" w:asciiTheme="minorEastAsia" w:hAnsiTheme="minorEastAsia" w:eastAsiaTheme="minorEastAsia"/>
                <w:sz w:val="24"/>
                <w:szCs w:val="24"/>
              </w:rPr>
              <w:t>安徽：途居黄山奇瑞露营地、途居芜湖龙山露营地、安庆市中联（天柱山）露营地、芜湖红杨山房车露营地、大别山彩虹瀑布汽车自驾运动营地、马鞍山含山鸣鹿堂房车露营地、亳州林拥城汽车露营地、滁州来安兴茂房车露营地、安庆巨石山汽车自驾运动营地、小岗村六六房车营地等营地。</w:t>
            </w:r>
          </w:p>
        </w:tc>
      </w:tr>
    </w:tbl>
    <w:p>
      <w:pPr>
        <w:keepNext w:val="0"/>
        <w:keepLines w:val="0"/>
        <w:pageBreakBefore w:val="0"/>
        <w:widowControl w:val="0"/>
        <w:kinsoku/>
        <w:wordWrap/>
        <w:overflowPunct/>
        <w:topLinePunct w:val="0"/>
        <w:autoSpaceDE/>
        <w:autoSpaceDN/>
        <w:bidi w:val="0"/>
        <w:adjustRightInd/>
        <w:snapToGrid/>
        <w:spacing w:before="157" w:beforeLines="50" w:line="600" w:lineRule="exact"/>
        <w:ind w:firstLine="560" w:firstLineChars="200"/>
        <w:textAlignment w:val="auto"/>
        <w:rPr>
          <w:rFonts w:asciiTheme="minorEastAsia" w:hAnsiTheme="minorEastAsia" w:eastAsiaTheme="minorEastAsia"/>
          <w:sz w:val="28"/>
          <w:szCs w:val="28"/>
        </w:rPr>
      </w:pPr>
      <w:r>
        <w:rPr>
          <w:rFonts w:hint="eastAsia" w:ascii="方正仿宋_GB2312" w:hAnsi="方正仿宋_GB2312" w:eastAsia="方正仿宋_GB2312" w:cs="方正仿宋_GB2312"/>
          <w:sz w:val="28"/>
          <w:szCs w:val="28"/>
        </w:rPr>
        <w:t>强化营地标准设施。</w:t>
      </w:r>
      <w:r>
        <w:rPr>
          <w:rFonts w:hint="eastAsia" w:cs="宋体" w:asciiTheme="minorEastAsia" w:hAnsiTheme="minorEastAsia" w:eastAsiaTheme="minorEastAsia"/>
          <w:kern w:val="0"/>
          <w:sz w:val="28"/>
          <w:szCs w:val="28"/>
        </w:rPr>
        <w:t>积极落实</w:t>
      </w:r>
      <w:r>
        <w:rPr>
          <w:rFonts w:cs="宋体" w:asciiTheme="minorEastAsia" w:hAnsiTheme="minorEastAsia" w:eastAsiaTheme="minorEastAsia"/>
          <w:kern w:val="0"/>
          <w:sz w:val="28"/>
          <w:szCs w:val="28"/>
        </w:rPr>
        <w:t>国家</w:t>
      </w:r>
      <w:r>
        <w:rPr>
          <w:rFonts w:hint="eastAsia" w:cs="宋体" w:asciiTheme="minorEastAsia" w:hAnsiTheme="minorEastAsia" w:eastAsiaTheme="minorEastAsia"/>
          <w:kern w:val="0"/>
          <w:sz w:val="28"/>
          <w:szCs w:val="28"/>
        </w:rPr>
        <w:t>体育总局</w:t>
      </w:r>
      <w:r>
        <w:rPr>
          <w:rFonts w:cs="宋体" w:asciiTheme="minorEastAsia" w:hAnsiTheme="minorEastAsia" w:eastAsiaTheme="minorEastAsia"/>
          <w:kern w:val="0"/>
          <w:sz w:val="28"/>
          <w:szCs w:val="28"/>
        </w:rPr>
        <w:t>制定的</w:t>
      </w:r>
      <w:r>
        <w:rPr>
          <w:rFonts w:ascii="宋体" w:hAnsi="宋体"/>
          <w:sz w:val="28"/>
          <w:szCs w:val="28"/>
          <w:shd w:val="clear" w:color="auto" w:fill="FFFFFF"/>
        </w:rPr>
        <w:t>《汽车自驾运动营地建设要求与开放条件》</w:t>
      </w:r>
      <w:r>
        <w:rPr>
          <w:rFonts w:hint="eastAsia" w:ascii="宋体" w:hAnsi="宋体"/>
          <w:sz w:val="28"/>
          <w:szCs w:val="28"/>
          <w:shd w:val="clear" w:color="auto" w:fill="FFFFFF"/>
        </w:rPr>
        <w:t>、</w:t>
      </w:r>
      <w:r>
        <w:rPr>
          <w:rFonts w:ascii="宋体" w:hAnsi="宋体"/>
          <w:sz w:val="28"/>
          <w:szCs w:val="28"/>
          <w:shd w:val="clear" w:color="auto" w:fill="FFFFFF"/>
        </w:rPr>
        <w:t>《汽车自驾运动营地服务管理要求》</w:t>
      </w:r>
      <w:r>
        <w:rPr>
          <w:rFonts w:hint="eastAsia" w:ascii="宋体" w:hAnsi="宋体"/>
          <w:sz w:val="28"/>
          <w:szCs w:val="28"/>
          <w:shd w:val="clear" w:color="auto" w:fill="FFFFFF"/>
        </w:rPr>
        <w:t>等</w:t>
      </w:r>
      <w:r>
        <w:rPr>
          <w:rFonts w:ascii="宋体" w:hAnsi="宋体"/>
          <w:sz w:val="28"/>
          <w:szCs w:val="28"/>
          <w:shd w:val="clear" w:color="auto" w:fill="FFFFFF"/>
        </w:rPr>
        <w:t>文件，</w:t>
      </w:r>
      <w:r>
        <w:rPr>
          <w:rFonts w:hint="eastAsia" w:cs="FZFSK--GBK1-0" w:asciiTheme="minorEastAsia" w:hAnsiTheme="minorEastAsia" w:eastAsiaTheme="minorEastAsia"/>
          <w:kern w:val="0"/>
          <w:sz w:val="28"/>
          <w:szCs w:val="28"/>
        </w:rPr>
        <w:t>引导城镇水、电、气、排污、垃圾处理等基础设施管网向营地建设区延伸。</w:t>
      </w:r>
      <w:r>
        <w:rPr>
          <w:rFonts w:hint="eastAsia" w:cs="宋体" w:asciiTheme="minorEastAsia" w:hAnsiTheme="minorEastAsia" w:eastAsiaTheme="minorEastAsia"/>
          <w:kern w:val="0"/>
          <w:sz w:val="28"/>
          <w:szCs w:val="28"/>
        </w:rPr>
        <w:t>提高营地建设与管理的规范化、标准化水平</w:t>
      </w:r>
      <w:r>
        <w:rPr>
          <w:rFonts w:hint="eastAsia" w:asciiTheme="minorEastAsia" w:hAnsiTheme="minorEastAsia" w:eastAsiaTheme="minorEastAsia"/>
          <w:sz w:val="28"/>
          <w:szCs w:val="28"/>
        </w:rPr>
        <w:t>，</w:t>
      </w:r>
      <w:r>
        <w:rPr>
          <w:rFonts w:hint="eastAsia" w:cs="FZFSK--GBK1-0" w:asciiTheme="minorEastAsia" w:hAnsiTheme="minorEastAsia" w:eastAsiaTheme="minorEastAsia"/>
          <w:kern w:val="0"/>
          <w:sz w:val="28"/>
          <w:szCs w:val="28"/>
        </w:rPr>
        <w:t>编制</w:t>
      </w:r>
      <w:r>
        <w:rPr>
          <w:rFonts w:hint="eastAsia" w:cs="宋体" w:asciiTheme="minorEastAsia" w:hAnsiTheme="minorEastAsia" w:eastAsiaTheme="minorEastAsia"/>
          <w:kern w:val="0"/>
          <w:sz w:val="28"/>
          <w:szCs w:val="28"/>
        </w:rPr>
        <w:t>长三角汽车运动营地质量服务等一批本土化高质量标准，</w:t>
      </w:r>
      <w:r>
        <w:rPr>
          <w:rFonts w:hint="eastAsia" w:cs="FZFSK--GBK1-0" w:asciiTheme="minorEastAsia" w:hAnsiTheme="minorEastAsia" w:eastAsiaTheme="minorEastAsia"/>
          <w:kern w:val="0"/>
          <w:sz w:val="28"/>
          <w:szCs w:val="28"/>
        </w:rPr>
        <w:t>形成长三角地区汽车运动营地的配套设施建设和标准化建设体系</w:t>
      </w:r>
      <w:r>
        <w:rPr>
          <w:rFonts w:cs="宋体" w:asciiTheme="minorEastAsia" w:hAnsiTheme="minorEastAsia" w:eastAsiaTheme="minorEastAsia"/>
          <w:kern w:val="0"/>
          <w:sz w:val="28"/>
          <w:szCs w:val="28"/>
        </w:rPr>
        <w:t>。</w:t>
      </w:r>
    </w:p>
    <w:p>
      <w:pPr>
        <w:pageBreakBefore w:val="0"/>
        <w:kinsoku/>
        <w:wordWrap/>
        <w:overflowPunct/>
        <w:topLinePunct w:val="0"/>
        <w:bidi w:val="0"/>
        <w:snapToGrid/>
        <w:spacing w:line="600" w:lineRule="exact"/>
        <w:ind w:firstLine="560" w:firstLineChars="200"/>
        <w:jc w:val="left"/>
        <w:textAlignment w:val="auto"/>
        <w:rPr>
          <w:rFonts w:cs="FZFSK--GBK1-0" w:asciiTheme="minorEastAsia" w:hAnsiTheme="minorEastAsia" w:eastAsiaTheme="minorEastAsia"/>
          <w:kern w:val="0"/>
          <w:sz w:val="28"/>
          <w:szCs w:val="28"/>
        </w:rPr>
      </w:pPr>
      <w:r>
        <w:rPr>
          <w:rFonts w:hint="eastAsia" w:ascii="方正仿宋_GB2312" w:hAnsi="方正仿宋_GB2312" w:eastAsia="方正仿宋_GB2312" w:cs="方正仿宋_GB2312"/>
          <w:sz w:val="28"/>
          <w:szCs w:val="28"/>
        </w:rPr>
        <w:t>推进营地星级工程。</w:t>
      </w:r>
      <w:r>
        <w:rPr>
          <w:rFonts w:hint="eastAsia" w:asciiTheme="minorEastAsia" w:hAnsiTheme="minorEastAsia"/>
          <w:sz w:val="28"/>
          <w:szCs w:val="28"/>
        </w:rPr>
        <w:t>按照国家体育总局制定的《汽车</w:t>
      </w:r>
      <w:r>
        <w:rPr>
          <w:rFonts w:hint="eastAsia" w:cs="FZFSK--GBK1-0" w:asciiTheme="minorEastAsia" w:hAnsiTheme="minorEastAsia" w:eastAsiaTheme="minorEastAsia"/>
          <w:kern w:val="0"/>
          <w:sz w:val="28"/>
          <w:szCs w:val="28"/>
        </w:rPr>
        <w:t>自驾运动营地星级划分</w:t>
      </w:r>
      <w:r>
        <w:rPr>
          <w:rFonts w:cs="FZFSK--GBK1-0" w:asciiTheme="minorEastAsia" w:hAnsiTheme="minorEastAsia" w:eastAsiaTheme="minorEastAsia"/>
          <w:kern w:val="0"/>
          <w:sz w:val="28"/>
          <w:szCs w:val="28"/>
        </w:rPr>
        <w:t>与</w:t>
      </w:r>
      <w:r>
        <w:rPr>
          <w:rFonts w:hint="eastAsia" w:cs="FZFSK--GBK1-0" w:asciiTheme="minorEastAsia" w:hAnsiTheme="minorEastAsia" w:eastAsiaTheme="minorEastAsia"/>
          <w:kern w:val="0"/>
          <w:sz w:val="28"/>
          <w:szCs w:val="28"/>
        </w:rPr>
        <w:t>评定</w:t>
      </w:r>
      <w:r>
        <w:rPr>
          <w:rFonts w:hint="eastAsia" w:asciiTheme="minorEastAsia" w:hAnsiTheme="minorEastAsia"/>
          <w:sz w:val="28"/>
          <w:szCs w:val="28"/>
        </w:rPr>
        <w:t>》要求，</w:t>
      </w:r>
      <w:r>
        <w:rPr>
          <w:rFonts w:hint="eastAsia" w:cs="FZFSK--GBK1-0" w:asciiTheme="minorEastAsia" w:hAnsiTheme="minorEastAsia" w:eastAsiaTheme="minorEastAsia"/>
          <w:kern w:val="0"/>
          <w:sz w:val="28"/>
          <w:szCs w:val="28"/>
        </w:rPr>
        <w:t>做好区域内的汽车自驾运动营地星级评定工作。实施“营地星级</w:t>
      </w:r>
      <w:r>
        <w:rPr>
          <w:rFonts w:cs="FZFSK--GBK1-0" w:asciiTheme="minorEastAsia" w:hAnsiTheme="minorEastAsia" w:eastAsiaTheme="minorEastAsia"/>
          <w:kern w:val="0"/>
          <w:sz w:val="28"/>
          <w:szCs w:val="28"/>
        </w:rPr>
        <w:t>工程</w:t>
      </w:r>
      <w:r>
        <w:rPr>
          <w:rFonts w:hint="eastAsia" w:cs="FZFSK--GBK1-0" w:asciiTheme="minorEastAsia" w:hAnsiTheme="minorEastAsia" w:eastAsiaTheme="minorEastAsia"/>
          <w:kern w:val="0"/>
          <w:sz w:val="28"/>
          <w:szCs w:val="28"/>
        </w:rPr>
        <w:t>”，到2025年</w:t>
      </w:r>
      <w:r>
        <w:rPr>
          <w:rFonts w:hint="eastAsia" w:asciiTheme="minorEastAsia" w:hAnsiTheme="minorEastAsia"/>
          <w:sz w:val="28"/>
          <w:szCs w:val="28"/>
        </w:rPr>
        <w:t>建成汽车自驾运动营地</w:t>
      </w:r>
      <w:r>
        <w:rPr>
          <w:rFonts w:asciiTheme="minorEastAsia" w:hAnsiTheme="minorEastAsia"/>
          <w:sz w:val="28"/>
          <w:szCs w:val="28"/>
        </w:rPr>
        <w:t>200</w:t>
      </w:r>
      <w:r>
        <w:rPr>
          <w:rFonts w:hint="eastAsia" w:asciiTheme="minorEastAsia" w:hAnsiTheme="minorEastAsia"/>
          <w:sz w:val="28"/>
          <w:szCs w:val="28"/>
        </w:rPr>
        <w:t>个</w:t>
      </w:r>
      <w:r>
        <w:rPr>
          <w:rFonts w:cs="FZFSK--GBK1-0" w:asciiTheme="minorEastAsia" w:hAnsiTheme="minorEastAsia" w:eastAsiaTheme="minorEastAsia"/>
          <w:kern w:val="0"/>
          <w:sz w:val="28"/>
          <w:szCs w:val="28"/>
        </w:rPr>
        <w:t>，</w:t>
      </w:r>
      <w:r>
        <w:rPr>
          <w:rFonts w:hint="eastAsia" w:cs="FZFSK--GBK1-0" w:asciiTheme="minorEastAsia" w:hAnsiTheme="minorEastAsia" w:eastAsiaTheme="minorEastAsia"/>
          <w:kern w:val="0"/>
          <w:sz w:val="28"/>
          <w:szCs w:val="28"/>
        </w:rPr>
        <w:t>其中全国星级汽车自驾运动营地35个。</w:t>
      </w:r>
    </w:p>
    <w:tbl>
      <w:tblPr>
        <w:tblStyle w:val="13"/>
        <w:tblW w:w="82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60"/>
        <w:gridCol w:w="2851"/>
        <w:gridCol w:w="31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260" w:type="dxa"/>
            <w:vAlign w:val="center"/>
          </w:tcPr>
          <w:p>
            <w:pPr>
              <w:pStyle w:val="2"/>
              <w:pageBreakBefore w:val="0"/>
              <w:kinsoku/>
              <w:wordWrap/>
              <w:overflowPunct/>
              <w:topLinePunct w:val="0"/>
              <w:bidi w:val="0"/>
              <w:snapToGrid/>
              <w:spacing w:before="0" w:after="0" w:line="600" w:lineRule="exact"/>
              <w:jc w:val="center"/>
              <w:textAlignment w:val="auto"/>
              <w:outlineLvl w:val="1"/>
              <w:rPr>
                <w:rFonts w:cs="FZFSK--GBK1-0" w:asciiTheme="minorEastAsia" w:hAnsiTheme="minorEastAsia" w:eastAsiaTheme="minorEastAsia"/>
                <w:b w:val="0"/>
                <w:kern w:val="0"/>
                <w:sz w:val="24"/>
                <w:szCs w:val="24"/>
              </w:rPr>
            </w:pPr>
          </w:p>
        </w:tc>
        <w:tc>
          <w:tcPr>
            <w:tcW w:w="2851" w:type="dxa"/>
            <w:vAlign w:val="center"/>
          </w:tcPr>
          <w:p>
            <w:pPr>
              <w:pStyle w:val="2"/>
              <w:pageBreakBefore w:val="0"/>
              <w:kinsoku/>
              <w:wordWrap/>
              <w:overflowPunct/>
              <w:topLinePunct w:val="0"/>
              <w:bidi w:val="0"/>
              <w:snapToGrid/>
              <w:spacing w:before="0" w:after="0" w:line="600" w:lineRule="exact"/>
              <w:jc w:val="center"/>
              <w:textAlignment w:val="auto"/>
              <w:outlineLvl w:val="1"/>
              <w:rPr>
                <w:rFonts w:cs="FZFSK--GBK1-0" w:asciiTheme="minorEastAsia" w:hAnsiTheme="minorEastAsia" w:eastAsiaTheme="minorEastAsia"/>
                <w:b w:val="0"/>
                <w:kern w:val="0"/>
                <w:sz w:val="24"/>
                <w:szCs w:val="24"/>
              </w:rPr>
            </w:pPr>
            <w:r>
              <w:rPr>
                <w:rFonts w:hint="eastAsia" w:cs="FZFSK--GBK1-0" w:asciiTheme="minorEastAsia" w:hAnsiTheme="minorEastAsia" w:eastAsiaTheme="minorEastAsia"/>
                <w:b w:val="0"/>
                <w:kern w:val="0"/>
                <w:sz w:val="24"/>
                <w:szCs w:val="24"/>
              </w:rPr>
              <w:t>营地总数量</w:t>
            </w:r>
          </w:p>
        </w:tc>
        <w:tc>
          <w:tcPr>
            <w:tcW w:w="3128" w:type="dxa"/>
            <w:vAlign w:val="center"/>
          </w:tcPr>
          <w:p>
            <w:pPr>
              <w:pStyle w:val="2"/>
              <w:pageBreakBefore w:val="0"/>
              <w:kinsoku/>
              <w:wordWrap/>
              <w:overflowPunct/>
              <w:topLinePunct w:val="0"/>
              <w:bidi w:val="0"/>
              <w:snapToGrid/>
              <w:spacing w:before="0" w:after="0" w:line="600" w:lineRule="exact"/>
              <w:jc w:val="center"/>
              <w:textAlignment w:val="auto"/>
              <w:outlineLvl w:val="1"/>
              <w:rPr>
                <w:rFonts w:cs="FZFSK--GBK1-0" w:asciiTheme="minorEastAsia" w:hAnsiTheme="minorEastAsia" w:eastAsiaTheme="minorEastAsia"/>
                <w:b w:val="0"/>
                <w:kern w:val="0"/>
                <w:sz w:val="24"/>
                <w:szCs w:val="24"/>
              </w:rPr>
            </w:pPr>
            <w:r>
              <w:rPr>
                <w:rFonts w:hint="eastAsia" w:cs="FZFSK--GBK1-0" w:asciiTheme="minorEastAsia" w:hAnsiTheme="minorEastAsia" w:eastAsiaTheme="minorEastAsia"/>
                <w:b w:val="0"/>
                <w:kern w:val="0"/>
                <w:sz w:val="24"/>
                <w:szCs w:val="24"/>
              </w:rPr>
              <w:t>全国星级营地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260" w:type="dxa"/>
            <w:vAlign w:val="center"/>
          </w:tcPr>
          <w:p>
            <w:pPr>
              <w:pStyle w:val="2"/>
              <w:pageBreakBefore w:val="0"/>
              <w:kinsoku/>
              <w:wordWrap/>
              <w:overflowPunct/>
              <w:topLinePunct w:val="0"/>
              <w:bidi w:val="0"/>
              <w:snapToGrid/>
              <w:spacing w:before="0" w:after="0" w:line="600" w:lineRule="exact"/>
              <w:jc w:val="right"/>
              <w:textAlignment w:val="auto"/>
              <w:outlineLvl w:val="1"/>
              <w:rPr>
                <w:rFonts w:cs="FZFSK--GBK1-0" w:asciiTheme="minorEastAsia" w:hAnsiTheme="minorEastAsia" w:eastAsiaTheme="minorEastAsia"/>
                <w:b w:val="0"/>
                <w:kern w:val="0"/>
                <w:sz w:val="24"/>
                <w:szCs w:val="24"/>
              </w:rPr>
            </w:pPr>
            <w:r>
              <w:rPr>
                <w:rFonts w:hint="eastAsia" w:cs="FZFSK--GBK1-0" w:asciiTheme="minorEastAsia" w:hAnsiTheme="minorEastAsia" w:eastAsiaTheme="minorEastAsia"/>
                <w:b w:val="0"/>
                <w:kern w:val="0"/>
                <w:sz w:val="24"/>
                <w:szCs w:val="24"/>
              </w:rPr>
              <w:t>长三角地区</w:t>
            </w:r>
          </w:p>
        </w:tc>
        <w:tc>
          <w:tcPr>
            <w:tcW w:w="2851" w:type="dxa"/>
            <w:vAlign w:val="center"/>
          </w:tcPr>
          <w:p>
            <w:pPr>
              <w:pStyle w:val="2"/>
              <w:pageBreakBefore w:val="0"/>
              <w:kinsoku/>
              <w:wordWrap/>
              <w:overflowPunct/>
              <w:topLinePunct w:val="0"/>
              <w:bidi w:val="0"/>
              <w:snapToGrid/>
              <w:spacing w:before="0" w:after="0" w:line="600" w:lineRule="exact"/>
              <w:jc w:val="center"/>
              <w:textAlignment w:val="auto"/>
              <w:outlineLvl w:val="1"/>
              <w:rPr>
                <w:rFonts w:cs="FZFSK--GBK1-0" w:asciiTheme="minorEastAsia" w:hAnsiTheme="minorEastAsia" w:eastAsiaTheme="minorEastAsia"/>
                <w:b w:val="0"/>
                <w:kern w:val="0"/>
                <w:sz w:val="24"/>
                <w:szCs w:val="24"/>
              </w:rPr>
            </w:pPr>
            <w:r>
              <w:rPr>
                <w:rFonts w:hint="eastAsia" w:cs="FZFSK--GBK1-0" w:asciiTheme="minorEastAsia" w:hAnsiTheme="minorEastAsia" w:eastAsiaTheme="minorEastAsia"/>
                <w:b w:val="0"/>
                <w:kern w:val="0"/>
                <w:sz w:val="24"/>
                <w:szCs w:val="24"/>
              </w:rPr>
              <w:t>200</w:t>
            </w:r>
          </w:p>
        </w:tc>
        <w:tc>
          <w:tcPr>
            <w:tcW w:w="3128" w:type="dxa"/>
            <w:vAlign w:val="center"/>
          </w:tcPr>
          <w:p>
            <w:pPr>
              <w:pStyle w:val="2"/>
              <w:pageBreakBefore w:val="0"/>
              <w:kinsoku/>
              <w:wordWrap/>
              <w:overflowPunct/>
              <w:topLinePunct w:val="0"/>
              <w:bidi w:val="0"/>
              <w:snapToGrid/>
              <w:spacing w:before="0" w:after="0" w:line="600" w:lineRule="exact"/>
              <w:jc w:val="center"/>
              <w:textAlignment w:val="auto"/>
              <w:outlineLvl w:val="1"/>
              <w:rPr>
                <w:rFonts w:cs="FZFSK--GBK1-0" w:asciiTheme="minorEastAsia" w:hAnsiTheme="minorEastAsia" w:eastAsiaTheme="minorEastAsia"/>
                <w:b w:val="0"/>
                <w:kern w:val="0"/>
                <w:sz w:val="24"/>
                <w:szCs w:val="24"/>
              </w:rPr>
            </w:pPr>
            <w:r>
              <w:rPr>
                <w:rFonts w:hint="eastAsia" w:cs="FZFSK--GBK1-0" w:asciiTheme="minorEastAsia" w:hAnsiTheme="minorEastAsia" w:eastAsiaTheme="minorEastAsia"/>
                <w:b w:val="0"/>
                <w:kern w:val="0"/>
                <w:sz w:val="24"/>
                <w:szCs w:val="24"/>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260" w:type="dxa"/>
            <w:vAlign w:val="center"/>
          </w:tcPr>
          <w:p>
            <w:pPr>
              <w:pStyle w:val="2"/>
              <w:pageBreakBefore w:val="0"/>
              <w:kinsoku/>
              <w:wordWrap/>
              <w:overflowPunct/>
              <w:topLinePunct w:val="0"/>
              <w:bidi w:val="0"/>
              <w:snapToGrid/>
              <w:spacing w:before="0" w:after="0" w:line="600" w:lineRule="exact"/>
              <w:jc w:val="right"/>
              <w:textAlignment w:val="auto"/>
              <w:outlineLvl w:val="1"/>
              <w:rPr>
                <w:rFonts w:cs="FZFSK--GBK1-0" w:asciiTheme="minorEastAsia" w:hAnsiTheme="minorEastAsia" w:eastAsiaTheme="minorEastAsia"/>
                <w:b w:val="0"/>
                <w:kern w:val="0"/>
                <w:sz w:val="24"/>
                <w:szCs w:val="24"/>
              </w:rPr>
            </w:pPr>
            <w:r>
              <w:rPr>
                <w:rFonts w:hint="eastAsia" w:cs="FZFSK--GBK1-0" w:asciiTheme="minorEastAsia" w:hAnsiTheme="minorEastAsia" w:eastAsiaTheme="minorEastAsia"/>
                <w:b w:val="0"/>
                <w:kern w:val="0"/>
                <w:sz w:val="24"/>
                <w:szCs w:val="24"/>
              </w:rPr>
              <w:t>安徽省</w:t>
            </w:r>
          </w:p>
        </w:tc>
        <w:tc>
          <w:tcPr>
            <w:tcW w:w="2851" w:type="dxa"/>
            <w:vAlign w:val="center"/>
          </w:tcPr>
          <w:p>
            <w:pPr>
              <w:pStyle w:val="2"/>
              <w:pageBreakBefore w:val="0"/>
              <w:kinsoku/>
              <w:wordWrap/>
              <w:overflowPunct/>
              <w:topLinePunct w:val="0"/>
              <w:bidi w:val="0"/>
              <w:snapToGrid/>
              <w:spacing w:before="0" w:after="0" w:line="600" w:lineRule="exact"/>
              <w:jc w:val="center"/>
              <w:textAlignment w:val="auto"/>
              <w:outlineLvl w:val="1"/>
              <w:rPr>
                <w:rFonts w:cs="FZFSK--GBK1-0" w:asciiTheme="minorEastAsia" w:hAnsiTheme="minorEastAsia" w:eastAsiaTheme="minorEastAsia"/>
                <w:b w:val="0"/>
                <w:kern w:val="0"/>
                <w:sz w:val="24"/>
                <w:szCs w:val="24"/>
              </w:rPr>
            </w:pPr>
            <w:r>
              <w:rPr>
                <w:rFonts w:hint="eastAsia" w:cs="FZFSK--GBK1-0" w:asciiTheme="minorEastAsia" w:hAnsiTheme="minorEastAsia" w:eastAsiaTheme="minorEastAsia"/>
                <w:b w:val="0"/>
                <w:kern w:val="0"/>
                <w:sz w:val="24"/>
                <w:szCs w:val="24"/>
              </w:rPr>
              <w:t>80</w:t>
            </w:r>
          </w:p>
        </w:tc>
        <w:tc>
          <w:tcPr>
            <w:tcW w:w="3128" w:type="dxa"/>
            <w:vAlign w:val="center"/>
          </w:tcPr>
          <w:p>
            <w:pPr>
              <w:pStyle w:val="2"/>
              <w:pageBreakBefore w:val="0"/>
              <w:kinsoku/>
              <w:wordWrap/>
              <w:overflowPunct/>
              <w:topLinePunct w:val="0"/>
              <w:bidi w:val="0"/>
              <w:snapToGrid/>
              <w:spacing w:before="0" w:after="0" w:line="600" w:lineRule="exact"/>
              <w:jc w:val="center"/>
              <w:textAlignment w:val="auto"/>
              <w:outlineLvl w:val="1"/>
              <w:rPr>
                <w:rFonts w:cs="FZFSK--GBK1-0" w:asciiTheme="minorEastAsia" w:hAnsiTheme="minorEastAsia" w:eastAsiaTheme="minorEastAsia"/>
                <w:b w:val="0"/>
                <w:kern w:val="0"/>
                <w:sz w:val="24"/>
                <w:szCs w:val="24"/>
              </w:rPr>
            </w:pPr>
            <w:r>
              <w:rPr>
                <w:rFonts w:hint="eastAsia" w:cs="FZFSK--GBK1-0" w:asciiTheme="minorEastAsia" w:hAnsiTheme="minorEastAsia" w:eastAsiaTheme="minorEastAsia"/>
                <w:b w:val="0"/>
                <w:kern w:val="0"/>
                <w:sz w:val="24"/>
                <w:szCs w:val="24"/>
              </w:rPr>
              <w:t>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260" w:type="dxa"/>
            <w:vAlign w:val="center"/>
          </w:tcPr>
          <w:p>
            <w:pPr>
              <w:pStyle w:val="2"/>
              <w:pageBreakBefore w:val="0"/>
              <w:kinsoku/>
              <w:wordWrap/>
              <w:overflowPunct/>
              <w:topLinePunct w:val="0"/>
              <w:bidi w:val="0"/>
              <w:snapToGrid/>
              <w:spacing w:before="0" w:after="0" w:line="600" w:lineRule="exact"/>
              <w:jc w:val="right"/>
              <w:textAlignment w:val="auto"/>
              <w:outlineLvl w:val="1"/>
              <w:rPr>
                <w:rFonts w:cs="FZFSK--GBK1-0" w:asciiTheme="minorEastAsia" w:hAnsiTheme="minorEastAsia" w:eastAsiaTheme="minorEastAsia"/>
                <w:b w:val="0"/>
                <w:kern w:val="0"/>
                <w:sz w:val="24"/>
                <w:szCs w:val="24"/>
              </w:rPr>
            </w:pPr>
            <w:r>
              <w:rPr>
                <w:rFonts w:hint="eastAsia" w:cs="FZFSK--GBK1-0" w:asciiTheme="minorEastAsia" w:hAnsiTheme="minorEastAsia" w:eastAsiaTheme="minorEastAsia"/>
                <w:b w:val="0"/>
                <w:kern w:val="0"/>
                <w:sz w:val="24"/>
                <w:szCs w:val="24"/>
              </w:rPr>
              <w:t>上海市</w:t>
            </w:r>
          </w:p>
        </w:tc>
        <w:tc>
          <w:tcPr>
            <w:tcW w:w="2851" w:type="dxa"/>
            <w:vAlign w:val="center"/>
          </w:tcPr>
          <w:p>
            <w:pPr>
              <w:pStyle w:val="2"/>
              <w:pageBreakBefore w:val="0"/>
              <w:kinsoku/>
              <w:wordWrap/>
              <w:overflowPunct/>
              <w:topLinePunct w:val="0"/>
              <w:bidi w:val="0"/>
              <w:snapToGrid/>
              <w:spacing w:before="0" w:after="0" w:line="600" w:lineRule="exact"/>
              <w:jc w:val="center"/>
              <w:textAlignment w:val="auto"/>
              <w:outlineLvl w:val="1"/>
              <w:rPr>
                <w:rFonts w:cs="FZFSK--GBK1-0" w:asciiTheme="minorEastAsia" w:hAnsiTheme="minorEastAsia" w:eastAsiaTheme="minorEastAsia"/>
                <w:b w:val="0"/>
                <w:kern w:val="0"/>
                <w:sz w:val="24"/>
                <w:szCs w:val="24"/>
              </w:rPr>
            </w:pPr>
            <w:r>
              <w:rPr>
                <w:rFonts w:hint="eastAsia" w:cs="FZFSK--GBK1-0" w:asciiTheme="minorEastAsia" w:hAnsiTheme="minorEastAsia" w:eastAsiaTheme="minorEastAsia"/>
                <w:b w:val="0"/>
                <w:kern w:val="0"/>
                <w:sz w:val="24"/>
                <w:szCs w:val="24"/>
              </w:rPr>
              <w:t>20</w:t>
            </w:r>
          </w:p>
        </w:tc>
        <w:tc>
          <w:tcPr>
            <w:tcW w:w="3128" w:type="dxa"/>
            <w:vAlign w:val="center"/>
          </w:tcPr>
          <w:p>
            <w:pPr>
              <w:pStyle w:val="2"/>
              <w:pageBreakBefore w:val="0"/>
              <w:kinsoku/>
              <w:wordWrap/>
              <w:overflowPunct/>
              <w:topLinePunct w:val="0"/>
              <w:bidi w:val="0"/>
              <w:snapToGrid/>
              <w:spacing w:before="0" w:after="0" w:line="600" w:lineRule="exact"/>
              <w:jc w:val="center"/>
              <w:textAlignment w:val="auto"/>
              <w:outlineLvl w:val="1"/>
              <w:rPr>
                <w:rFonts w:cs="FZFSK--GBK1-0" w:asciiTheme="minorEastAsia" w:hAnsiTheme="minorEastAsia" w:eastAsiaTheme="minorEastAsia"/>
                <w:b w:val="0"/>
                <w:kern w:val="0"/>
                <w:sz w:val="24"/>
                <w:szCs w:val="24"/>
              </w:rPr>
            </w:pPr>
            <w:r>
              <w:rPr>
                <w:rFonts w:hint="eastAsia" w:cs="FZFSK--GBK1-0" w:asciiTheme="minorEastAsia" w:hAnsiTheme="minorEastAsia" w:eastAsiaTheme="minorEastAsia"/>
                <w:b w:val="0"/>
                <w:kern w:val="0"/>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2260" w:type="dxa"/>
            <w:vAlign w:val="center"/>
          </w:tcPr>
          <w:p>
            <w:pPr>
              <w:pStyle w:val="2"/>
              <w:pageBreakBefore w:val="0"/>
              <w:kinsoku/>
              <w:wordWrap/>
              <w:overflowPunct/>
              <w:topLinePunct w:val="0"/>
              <w:bidi w:val="0"/>
              <w:snapToGrid/>
              <w:spacing w:before="0" w:after="0" w:line="600" w:lineRule="exact"/>
              <w:jc w:val="right"/>
              <w:textAlignment w:val="auto"/>
              <w:outlineLvl w:val="1"/>
              <w:rPr>
                <w:rFonts w:cs="FZFSK--GBK1-0" w:asciiTheme="minorEastAsia" w:hAnsiTheme="minorEastAsia" w:eastAsiaTheme="minorEastAsia"/>
                <w:b w:val="0"/>
                <w:kern w:val="0"/>
                <w:sz w:val="24"/>
                <w:szCs w:val="24"/>
              </w:rPr>
            </w:pPr>
            <w:r>
              <w:rPr>
                <w:rFonts w:hint="eastAsia" w:cs="FZFSK--GBK1-0" w:asciiTheme="minorEastAsia" w:hAnsiTheme="minorEastAsia" w:eastAsiaTheme="minorEastAsia"/>
                <w:b w:val="0"/>
                <w:kern w:val="0"/>
                <w:sz w:val="24"/>
                <w:szCs w:val="24"/>
              </w:rPr>
              <w:t>江苏省</w:t>
            </w:r>
          </w:p>
        </w:tc>
        <w:tc>
          <w:tcPr>
            <w:tcW w:w="2851" w:type="dxa"/>
            <w:vAlign w:val="center"/>
          </w:tcPr>
          <w:p>
            <w:pPr>
              <w:pStyle w:val="2"/>
              <w:pageBreakBefore w:val="0"/>
              <w:kinsoku/>
              <w:wordWrap/>
              <w:overflowPunct/>
              <w:topLinePunct w:val="0"/>
              <w:bidi w:val="0"/>
              <w:snapToGrid/>
              <w:spacing w:before="0" w:after="0" w:line="600" w:lineRule="exact"/>
              <w:jc w:val="center"/>
              <w:textAlignment w:val="auto"/>
              <w:outlineLvl w:val="1"/>
              <w:rPr>
                <w:rFonts w:cs="FZFSK--GBK1-0" w:asciiTheme="minorEastAsia" w:hAnsiTheme="minorEastAsia" w:eastAsiaTheme="minorEastAsia"/>
                <w:b w:val="0"/>
                <w:kern w:val="0"/>
                <w:sz w:val="24"/>
                <w:szCs w:val="24"/>
              </w:rPr>
            </w:pPr>
            <w:r>
              <w:rPr>
                <w:rFonts w:hint="eastAsia" w:cs="FZFSK--GBK1-0" w:asciiTheme="minorEastAsia" w:hAnsiTheme="minorEastAsia" w:eastAsiaTheme="minorEastAsia"/>
                <w:b w:val="0"/>
                <w:kern w:val="0"/>
                <w:sz w:val="24"/>
                <w:szCs w:val="24"/>
              </w:rPr>
              <w:t>50</w:t>
            </w:r>
          </w:p>
        </w:tc>
        <w:tc>
          <w:tcPr>
            <w:tcW w:w="3128" w:type="dxa"/>
            <w:vAlign w:val="center"/>
          </w:tcPr>
          <w:p>
            <w:pPr>
              <w:pStyle w:val="2"/>
              <w:pageBreakBefore w:val="0"/>
              <w:kinsoku/>
              <w:wordWrap/>
              <w:overflowPunct/>
              <w:topLinePunct w:val="0"/>
              <w:bidi w:val="0"/>
              <w:snapToGrid/>
              <w:spacing w:before="0" w:after="0" w:line="600" w:lineRule="exact"/>
              <w:jc w:val="center"/>
              <w:textAlignment w:val="auto"/>
              <w:outlineLvl w:val="1"/>
              <w:rPr>
                <w:rFonts w:cs="FZFSK--GBK1-0" w:asciiTheme="minorEastAsia" w:hAnsiTheme="minorEastAsia" w:eastAsiaTheme="minorEastAsia"/>
                <w:b w:val="0"/>
                <w:kern w:val="0"/>
                <w:sz w:val="24"/>
                <w:szCs w:val="24"/>
              </w:rPr>
            </w:pPr>
            <w:r>
              <w:rPr>
                <w:rFonts w:hint="eastAsia" w:cs="FZFSK--GBK1-0" w:asciiTheme="minorEastAsia" w:hAnsiTheme="minorEastAsia" w:eastAsiaTheme="minorEastAsia"/>
                <w:b w:val="0"/>
                <w:kern w:val="0"/>
                <w:sz w:val="24"/>
                <w:szCs w:val="24"/>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260" w:type="dxa"/>
            <w:vAlign w:val="center"/>
          </w:tcPr>
          <w:p>
            <w:pPr>
              <w:pStyle w:val="2"/>
              <w:pageBreakBefore w:val="0"/>
              <w:kinsoku/>
              <w:wordWrap/>
              <w:overflowPunct/>
              <w:topLinePunct w:val="0"/>
              <w:bidi w:val="0"/>
              <w:snapToGrid/>
              <w:spacing w:before="0" w:after="0" w:line="600" w:lineRule="exact"/>
              <w:jc w:val="right"/>
              <w:textAlignment w:val="auto"/>
              <w:outlineLvl w:val="1"/>
              <w:rPr>
                <w:rFonts w:cs="FZFSK--GBK1-0" w:asciiTheme="minorEastAsia" w:hAnsiTheme="minorEastAsia" w:eastAsiaTheme="minorEastAsia"/>
                <w:b w:val="0"/>
                <w:kern w:val="0"/>
                <w:sz w:val="24"/>
                <w:szCs w:val="24"/>
              </w:rPr>
            </w:pPr>
            <w:r>
              <w:rPr>
                <w:rFonts w:hint="eastAsia" w:cs="FZFSK--GBK1-0" w:asciiTheme="minorEastAsia" w:hAnsiTheme="minorEastAsia" w:eastAsiaTheme="minorEastAsia"/>
                <w:b w:val="0"/>
                <w:kern w:val="0"/>
                <w:sz w:val="24"/>
                <w:szCs w:val="24"/>
              </w:rPr>
              <w:t>浙江省</w:t>
            </w:r>
          </w:p>
        </w:tc>
        <w:tc>
          <w:tcPr>
            <w:tcW w:w="2851" w:type="dxa"/>
            <w:vAlign w:val="center"/>
          </w:tcPr>
          <w:p>
            <w:pPr>
              <w:pStyle w:val="2"/>
              <w:pageBreakBefore w:val="0"/>
              <w:kinsoku/>
              <w:wordWrap/>
              <w:overflowPunct/>
              <w:topLinePunct w:val="0"/>
              <w:bidi w:val="0"/>
              <w:snapToGrid/>
              <w:spacing w:before="0" w:after="0" w:line="600" w:lineRule="exact"/>
              <w:jc w:val="center"/>
              <w:textAlignment w:val="auto"/>
              <w:outlineLvl w:val="1"/>
              <w:rPr>
                <w:rFonts w:cs="FZFSK--GBK1-0" w:asciiTheme="minorEastAsia" w:hAnsiTheme="minorEastAsia" w:eastAsiaTheme="minorEastAsia"/>
                <w:b w:val="0"/>
                <w:kern w:val="0"/>
                <w:sz w:val="24"/>
                <w:szCs w:val="24"/>
              </w:rPr>
            </w:pPr>
            <w:r>
              <w:rPr>
                <w:rFonts w:hint="eastAsia" w:cs="FZFSK--GBK1-0" w:asciiTheme="minorEastAsia" w:hAnsiTheme="minorEastAsia" w:eastAsiaTheme="minorEastAsia"/>
                <w:b w:val="0"/>
                <w:kern w:val="0"/>
                <w:sz w:val="24"/>
                <w:szCs w:val="24"/>
              </w:rPr>
              <w:t>50</w:t>
            </w:r>
          </w:p>
        </w:tc>
        <w:tc>
          <w:tcPr>
            <w:tcW w:w="3128" w:type="dxa"/>
            <w:vAlign w:val="center"/>
          </w:tcPr>
          <w:p>
            <w:pPr>
              <w:pStyle w:val="2"/>
              <w:pageBreakBefore w:val="0"/>
              <w:kinsoku/>
              <w:wordWrap/>
              <w:overflowPunct/>
              <w:topLinePunct w:val="0"/>
              <w:bidi w:val="0"/>
              <w:snapToGrid/>
              <w:spacing w:before="0" w:after="0" w:line="600" w:lineRule="exact"/>
              <w:jc w:val="center"/>
              <w:textAlignment w:val="auto"/>
              <w:outlineLvl w:val="1"/>
              <w:rPr>
                <w:rFonts w:cs="FZFSK--GBK1-0" w:asciiTheme="minorEastAsia" w:hAnsiTheme="minorEastAsia" w:eastAsiaTheme="minorEastAsia"/>
                <w:b w:val="0"/>
                <w:kern w:val="0"/>
                <w:sz w:val="24"/>
                <w:szCs w:val="24"/>
              </w:rPr>
            </w:pPr>
            <w:r>
              <w:rPr>
                <w:rFonts w:hint="eastAsia" w:cs="FZFSK--GBK1-0" w:asciiTheme="minorEastAsia" w:hAnsiTheme="minorEastAsia" w:eastAsiaTheme="minorEastAsia"/>
                <w:b w:val="0"/>
                <w:kern w:val="0"/>
                <w:sz w:val="24"/>
                <w:szCs w:val="24"/>
              </w:rPr>
              <w:t>9</w:t>
            </w:r>
          </w:p>
        </w:tc>
      </w:tr>
    </w:tbl>
    <w:p>
      <w:pPr>
        <w:pageBreakBefore w:val="0"/>
        <w:kinsoku/>
        <w:wordWrap/>
        <w:overflowPunct/>
        <w:topLinePunct w:val="0"/>
        <w:bidi w:val="0"/>
        <w:snapToGrid/>
        <w:spacing w:line="600" w:lineRule="exact"/>
        <w:ind w:firstLine="561" w:firstLineChars="200"/>
        <w:textAlignment w:val="auto"/>
        <w:rPr>
          <w:rFonts w:ascii="Times New Roman" w:hAnsi="Times New Roman" w:eastAsia="华文中宋"/>
          <w:b/>
          <w:bCs/>
          <w:sz w:val="28"/>
          <w:szCs w:val="28"/>
        </w:rPr>
      </w:pPr>
      <w:r>
        <w:rPr>
          <w:rFonts w:hint="eastAsia" w:ascii="Times New Roman" w:hAnsi="Times New Roman" w:eastAsia="华文中宋"/>
          <w:b/>
          <w:bCs/>
          <w:sz w:val="28"/>
          <w:szCs w:val="28"/>
        </w:rPr>
        <w:t>（四）实施汽车运动“营地+”工程</w:t>
      </w:r>
    </w:p>
    <w:p>
      <w:pPr>
        <w:pageBreakBefore w:val="0"/>
        <w:kinsoku/>
        <w:wordWrap/>
        <w:overflowPunct/>
        <w:topLinePunct w:val="0"/>
        <w:bidi w:val="0"/>
        <w:snapToGrid/>
        <w:spacing w:line="600" w:lineRule="exact"/>
        <w:ind w:firstLine="560" w:firstLineChars="200"/>
        <w:textAlignment w:val="auto"/>
        <w:rPr>
          <w:rFonts w:asciiTheme="minorEastAsia" w:hAnsiTheme="minorEastAsia" w:eastAsiaTheme="minorEastAsia"/>
          <w:bCs/>
          <w:sz w:val="28"/>
          <w:szCs w:val="28"/>
        </w:rPr>
      </w:pPr>
      <w:r>
        <w:rPr>
          <w:rFonts w:hint="eastAsia" w:ascii="仿宋_GB2312" w:eastAsia="仿宋_GB2312"/>
          <w:sz w:val="28"/>
          <w:szCs w:val="28"/>
        </w:rPr>
        <w:t>“营地+产业基地”。</w:t>
      </w:r>
      <w:r>
        <w:rPr>
          <w:rFonts w:hint="eastAsia" w:asciiTheme="minorEastAsia" w:hAnsiTheme="minorEastAsia" w:eastAsiaTheme="minorEastAsia"/>
          <w:bCs/>
          <w:sz w:val="28"/>
          <w:szCs w:val="28"/>
        </w:rPr>
        <w:t>紧扣产业基地的资源优势，推动</w:t>
      </w:r>
      <w:r>
        <w:rPr>
          <w:rFonts w:asciiTheme="minorEastAsia" w:hAnsiTheme="minorEastAsia" w:eastAsiaTheme="minorEastAsia"/>
          <w:bCs/>
          <w:sz w:val="28"/>
          <w:szCs w:val="28"/>
        </w:rPr>
        <w:t>汽车自驾运动营地</w:t>
      </w:r>
      <w:r>
        <w:rPr>
          <w:rFonts w:hint="eastAsia" w:asciiTheme="minorEastAsia" w:hAnsiTheme="minorEastAsia" w:eastAsiaTheme="minorEastAsia"/>
          <w:bCs/>
          <w:sz w:val="28"/>
          <w:szCs w:val="28"/>
        </w:rPr>
        <w:t>的互动</w:t>
      </w:r>
      <w:r>
        <w:rPr>
          <w:rFonts w:asciiTheme="minorEastAsia" w:hAnsiTheme="minorEastAsia" w:eastAsiaTheme="minorEastAsia"/>
          <w:bCs/>
          <w:sz w:val="28"/>
          <w:szCs w:val="28"/>
        </w:rPr>
        <w:t>发展</w:t>
      </w:r>
      <w:r>
        <w:rPr>
          <w:rFonts w:hint="eastAsia" w:asciiTheme="minorEastAsia" w:hAnsiTheme="minorEastAsia" w:eastAsiaTheme="minorEastAsia"/>
          <w:bCs/>
          <w:sz w:val="28"/>
          <w:szCs w:val="28"/>
        </w:rPr>
        <w:t>。借助徐家汇、富阳</w:t>
      </w:r>
      <w:r>
        <w:rPr>
          <w:rFonts w:asciiTheme="minorEastAsia" w:hAnsiTheme="minorEastAsia" w:eastAsiaTheme="minorEastAsia"/>
          <w:bCs/>
          <w:sz w:val="28"/>
          <w:szCs w:val="28"/>
        </w:rPr>
        <w:t>、苏南</w:t>
      </w:r>
      <w:r>
        <w:rPr>
          <w:rFonts w:hint="eastAsia" w:asciiTheme="minorEastAsia" w:hAnsiTheme="minorEastAsia" w:eastAsiaTheme="minorEastAsia"/>
          <w:bCs/>
          <w:sz w:val="28"/>
          <w:szCs w:val="28"/>
        </w:rPr>
        <w:t>（县域）</w:t>
      </w:r>
      <w:r>
        <w:rPr>
          <w:rFonts w:asciiTheme="minorEastAsia" w:hAnsiTheme="minorEastAsia" w:eastAsiaTheme="minorEastAsia"/>
          <w:bCs/>
          <w:sz w:val="28"/>
          <w:szCs w:val="28"/>
        </w:rPr>
        <w:t>、皖南</w:t>
      </w:r>
      <w:r>
        <w:rPr>
          <w:rFonts w:hint="eastAsia" w:asciiTheme="minorEastAsia" w:hAnsiTheme="minorEastAsia" w:eastAsiaTheme="minorEastAsia"/>
          <w:bCs/>
          <w:sz w:val="28"/>
          <w:szCs w:val="28"/>
        </w:rPr>
        <w:t>（县域）等</w:t>
      </w:r>
      <w:r>
        <w:rPr>
          <w:rFonts w:asciiTheme="minorEastAsia" w:hAnsiTheme="minorEastAsia" w:eastAsiaTheme="minorEastAsia"/>
          <w:bCs/>
          <w:sz w:val="28"/>
          <w:szCs w:val="28"/>
        </w:rPr>
        <w:t>国家体育产业示范基地的</w:t>
      </w:r>
      <w:r>
        <w:rPr>
          <w:rFonts w:hint="eastAsia" w:asciiTheme="minorEastAsia" w:hAnsiTheme="minorEastAsia" w:eastAsiaTheme="minorEastAsia"/>
          <w:bCs/>
          <w:sz w:val="28"/>
          <w:szCs w:val="28"/>
        </w:rPr>
        <w:t>良好</w:t>
      </w:r>
      <w:r>
        <w:rPr>
          <w:rFonts w:asciiTheme="minorEastAsia" w:hAnsiTheme="minorEastAsia" w:eastAsiaTheme="minorEastAsia"/>
          <w:bCs/>
          <w:sz w:val="28"/>
          <w:szCs w:val="28"/>
        </w:rPr>
        <w:t>环境、</w:t>
      </w:r>
      <w:r>
        <w:rPr>
          <w:rFonts w:hint="eastAsia" w:asciiTheme="minorEastAsia" w:hAnsiTheme="minorEastAsia" w:eastAsiaTheme="minorEastAsia"/>
          <w:bCs/>
          <w:sz w:val="28"/>
          <w:szCs w:val="28"/>
        </w:rPr>
        <w:t>产业优势</w:t>
      </w:r>
      <w:r>
        <w:rPr>
          <w:rFonts w:asciiTheme="minorEastAsia" w:hAnsiTheme="minorEastAsia" w:eastAsiaTheme="minorEastAsia"/>
          <w:bCs/>
          <w:sz w:val="28"/>
          <w:szCs w:val="28"/>
        </w:rPr>
        <w:t>和集聚效应，</w:t>
      </w:r>
      <w:r>
        <w:rPr>
          <w:rFonts w:hint="eastAsia" w:asciiTheme="minorEastAsia" w:hAnsiTheme="minorEastAsia" w:eastAsiaTheme="minorEastAsia"/>
          <w:bCs/>
          <w:sz w:val="28"/>
          <w:szCs w:val="28"/>
        </w:rPr>
        <w:t>促进</w:t>
      </w:r>
      <w:r>
        <w:rPr>
          <w:rFonts w:asciiTheme="minorEastAsia" w:hAnsiTheme="minorEastAsia" w:eastAsiaTheme="minorEastAsia"/>
          <w:bCs/>
          <w:sz w:val="28"/>
          <w:szCs w:val="28"/>
        </w:rPr>
        <w:t>营地要素链与产业基地的</w:t>
      </w:r>
      <w:r>
        <w:rPr>
          <w:rFonts w:hint="eastAsia" w:asciiTheme="minorEastAsia" w:hAnsiTheme="minorEastAsia" w:eastAsiaTheme="minorEastAsia"/>
          <w:bCs/>
          <w:sz w:val="28"/>
          <w:szCs w:val="28"/>
        </w:rPr>
        <w:t>深度渗透。鼓励条件成熟的产业基地将营地建设纳入统一规划，支持多元市场主体参与产业基地的营地建设。</w:t>
      </w:r>
    </w:p>
    <w:p>
      <w:pPr>
        <w:pStyle w:val="9"/>
        <w:pageBreakBefore w:val="0"/>
        <w:widowControl/>
        <w:kinsoku/>
        <w:wordWrap/>
        <w:overflowPunct/>
        <w:topLinePunct w:val="0"/>
        <w:bidi w:val="0"/>
        <w:snapToGrid/>
        <w:spacing w:beforeAutospacing="0" w:afterAutospacing="0" w:line="600" w:lineRule="exact"/>
        <w:ind w:firstLine="560" w:firstLineChars="200"/>
        <w:textAlignment w:val="auto"/>
        <w:rPr>
          <w:rFonts w:asciiTheme="minorEastAsia" w:hAnsiTheme="minorEastAsia"/>
          <w:bCs/>
          <w:color w:val="auto"/>
          <w:sz w:val="28"/>
          <w:szCs w:val="28"/>
        </w:rPr>
      </w:pPr>
      <w:r>
        <w:rPr>
          <w:rFonts w:hint="eastAsia" w:asciiTheme="minorEastAsia" w:hAnsiTheme="minorEastAsia"/>
          <w:bCs/>
          <w:color w:val="auto"/>
          <w:sz w:val="28"/>
          <w:szCs w:val="28"/>
        </w:rPr>
        <w:t>“营地+特色小镇”。支持有条件的特色小镇布局汽车运动营地项目，围绕“营地+”开展自行车、汽车越野、定向越野、水上运动、动力飞行等互动活动。重点推动汽车自驾运动营地与上海市陈家镇自行车</w:t>
      </w:r>
      <w:r>
        <w:rPr>
          <w:rFonts w:asciiTheme="minorEastAsia" w:hAnsiTheme="minorEastAsia"/>
          <w:bCs/>
          <w:color w:val="auto"/>
          <w:sz w:val="28"/>
          <w:szCs w:val="28"/>
        </w:rPr>
        <w:t>特色小镇、南通市通州区开沙岛旅游度假区运动休闲特色小镇、杭州市淳安县石林港湾运动小镇、</w:t>
      </w:r>
      <w:r>
        <w:rPr>
          <w:rFonts w:hint="eastAsia" w:asciiTheme="minorEastAsia" w:hAnsiTheme="minorEastAsia"/>
          <w:bCs/>
          <w:color w:val="auto"/>
          <w:sz w:val="28"/>
          <w:szCs w:val="28"/>
        </w:rPr>
        <w:t>池州市</w:t>
      </w:r>
      <w:r>
        <w:rPr>
          <w:rFonts w:asciiTheme="minorEastAsia" w:hAnsiTheme="minorEastAsia"/>
          <w:bCs/>
          <w:color w:val="auto"/>
          <w:sz w:val="28"/>
          <w:szCs w:val="28"/>
        </w:rPr>
        <w:t>九华山运动休闲特色小镇</w:t>
      </w:r>
      <w:r>
        <w:rPr>
          <w:rFonts w:hint="eastAsia" w:asciiTheme="minorEastAsia" w:hAnsiTheme="minorEastAsia"/>
          <w:bCs/>
          <w:color w:val="auto"/>
          <w:sz w:val="28"/>
          <w:szCs w:val="28"/>
        </w:rPr>
        <w:t>等一批国家级特色小镇的融合发展。充分利用特色小镇独有的资源优势和</w:t>
      </w:r>
      <w:r>
        <w:rPr>
          <w:rFonts w:asciiTheme="minorEastAsia" w:hAnsiTheme="minorEastAsia"/>
          <w:bCs/>
          <w:color w:val="auto"/>
          <w:sz w:val="28"/>
          <w:szCs w:val="28"/>
        </w:rPr>
        <w:t>营地完善的餐饮、住宿、娱乐等设施</w:t>
      </w:r>
      <w:r>
        <w:rPr>
          <w:rFonts w:hint="eastAsia" w:asciiTheme="minorEastAsia" w:hAnsiTheme="minorEastAsia"/>
          <w:bCs/>
          <w:color w:val="auto"/>
          <w:sz w:val="28"/>
          <w:szCs w:val="28"/>
        </w:rPr>
        <w:t>优势，</w:t>
      </w:r>
      <w:r>
        <w:rPr>
          <w:rFonts w:asciiTheme="minorEastAsia" w:hAnsiTheme="minorEastAsia"/>
          <w:bCs/>
          <w:color w:val="auto"/>
          <w:sz w:val="28"/>
          <w:szCs w:val="28"/>
        </w:rPr>
        <w:t>留住游客，</w:t>
      </w:r>
      <w:r>
        <w:rPr>
          <w:rFonts w:hint="eastAsia" w:asciiTheme="minorEastAsia" w:hAnsiTheme="minorEastAsia"/>
          <w:bCs/>
          <w:color w:val="auto"/>
          <w:sz w:val="28"/>
          <w:szCs w:val="28"/>
        </w:rPr>
        <w:t>实现</w:t>
      </w:r>
      <w:r>
        <w:rPr>
          <w:rFonts w:asciiTheme="minorEastAsia" w:hAnsiTheme="minorEastAsia"/>
          <w:bCs/>
          <w:color w:val="auto"/>
          <w:sz w:val="28"/>
          <w:szCs w:val="28"/>
        </w:rPr>
        <w:t>由</w:t>
      </w:r>
      <w:r>
        <w:rPr>
          <w:rFonts w:hint="eastAsia" w:asciiTheme="minorEastAsia" w:hAnsiTheme="minorEastAsia"/>
          <w:bCs/>
          <w:color w:val="auto"/>
          <w:sz w:val="28"/>
          <w:szCs w:val="28"/>
        </w:rPr>
        <w:t>短期</w:t>
      </w:r>
      <w:r>
        <w:rPr>
          <w:rFonts w:asciiTheme="minorEastAsia" w:hAnsiTheme="minorEastAsia"/>
          <w:bCs/>
          <w:color w:val="auto"/>
          <w:sz w:val="28"/>
          <w:szCs w:val="28"/>
        </w:rPr>
        <w:t>观光</w:t>
      </w:r>
      <w:r>
        <w:rPr>
          <w:rFonts w:hint="eastAsia" w:asciiTheme="minorEastAsia" w:hAnsiTheme="minorEastAsia"/>
          <w:bCs/>
          <w:color w:val="auto"/>
          <w:sz w:val="28"/>
          <w:szCs w:val="28"/>
        </w:rPr>
        <w:t>游升级</w:t>
      </w:r>
      <w:r>
        <w:rPr>
          <w:rFonts w:asciiTheme="minorEastAsia" w:hAnsiTheme="minorEastAsia"/>
          <w:bCs/>
          <w:color w:val="auto"/>
          <w:sz w:val="28"/>
          <w:szCs w:val="28"/>
        </w:rPr>
        <w:t>为休闲度假</w:t>
      </w:r>
      <w:r>
        <w:rPr>
          <w:rFonts w:hint="eastAsia" w:asciiTheme="minorEastAsia" w:hAnsiTheme="minorEastAsia"/>
          <w:bCs/>
          <w:color w:val="auto"/>
          <w:sz w:val="28"/>
          <w:szCs w:val="28"/>
        </w:rPr>
        <w:t>游，增强“营地+小镇”的回头客消费体验。</w:t>
      </w:r>
    </w:p>
    <w:p>
      <w:pPr>
        <w:pageBreakBefore w:val="0"/>
        <w:kinsoku/>
        <w:wordWrap/>
        <w:overflowPunct/>
        <w:topLinePunct w:val="0"/>
        <w:bidi w:val="0"/>
        <w:snapToGrid/>
        <w:spacing w:line="600" w:lineRule="exact"/>
        <w:ind w:firstLine="560" w:firstLineChars="200"/>
        <w:textAlignment w:val="auto"/>
        <w:rPr>
          <w:rFonts w:asciiTheme="minorEastAsia" w:hAnsiTheme="minorEastAsia" w:eastAsiaTheme="minorEastAsia"/>
          <w:sz w:val="28"/>
          <w:szCs w:val="28"/>
        </w:rPr>
      </w:pPr>
      <w:r>
        <w:rPr>
          <w:rFonts w:hint="eastAsia" w:asciiTheme="minorEastAsia" w:hAnsiTheme="minorEastAsia" w:eastAsiaTheme="minorEastAsia"/>
          <w:bCs/>
          <w:sz w:val="28"/>
          <w:szCs w:val="28"/>
        </w:rPr>
        <w:t>“营地+美丽乡村”。鼓励汽车运动</w:t>
      </w:r>
      <w:r>
        <w:rPr>
          <w:rFonts w:hint="eastAsia" w:cs="KTJ+ZCKJpU-1" w:asciiTheme="minorEastAsia" w:hAnsiTheme="minorEastAsia" w:eastAsiaTheme="minorEastAsia"/>
          <w:kern w:val="0"/>
          <w:sz w:val="28"/>
          <w:szCs w:val="28"/>
        </w:rPr>
        <w:t>营地与民宿村、文化村等</w:t>
      </w:r>
      <w:r>
        <w:rPr>
          <w:rFonts w:hint="eastAsia" w:cs="AdobeHeitiStd-Regular" w:asciiTheme="minorEastAsia" w:hAnsiTheme="minorEastAsia" w:eastAsiaTheme="minorEastAsia"/>
          <w:kern w:val="0"/>
          <w:sz w:val="28"/>
          <w:szCs w:val="28"/>
        </w:rPr>
        <w:t>的生态休闲</w:t>
      </w:r>
      <w:r>
        <w:rPr>
          <w:rFonts w:hint="eastAsia" w:cs="KTJ0+ZDGJV7-2" w:asciiTheme="minorEastAsia" w:hAnsiTheme="minorEastAsia" w:eastAsiaTheme="minorEastAsia"/>
          <w:kern w:val="0"/>
          <w:sz w:val="28"/>
          <w:szCs w:val="28"/>
        </w:rPr>
        <w:t>、</w:t>
      </w:r>
      <w:r>
        <w:rPr>
          <w:rFonts w:hint="eastAsia" w:asciiTheme="minorEastAsia" w:hAnsiTheme="minorEastAsia" w:eastAsiaTheme="minorEastAsia"/>
          <w:sz w:val="28"/>
          <w:szCs w:val="28"/>
        </w:rPr>
        <w:t>旅游区、休闲农业区融合发展，</w:t>
      </w:r>
      <w:r>
        <w:rPr>
          <w:rFonts w:hint="eastAsia" w:cs="KTJ+ZCKJpX-18" w:asciiTheme="minorEastAsia" w:hAnsiTheme="minorEastAsia" w:eastAsiaTheme="minorEastAsia"/>
          <w:kern w:val="0"/>
          <w:sz w:val="28"/>
          <w:szCs w:val="28"/>
        </w:rPr>
        <w:t>充分利用</w:t>
      </w:r>
      <w:r>
        <w:rPr>
          <w:rFonts w:hint="eastAsia" w:cs="方正仿宋_GBK" w:asciiTheme="minorEastAsia" w:hAnsiTheme="minorEastAsia" w:eastAsiaTheme="minorEastAsia"/>
          <w:sz w:val="28"/>
          <w:szCs w:val="28"/>
        </w:rPr>
        <w:t>南京市江宁区黄龙岘村、安徽宁国港口镇等</w:t>
      </w:r>
      <w:r>
        <w:rPr>
          <w:rFonts w:hint="eastAsia" w:cs="KTJ+ZCKJpX-18" w:asciiTheme="minorEastAsia" w:hAnsiTheme="minorEastAsia" w:eastAsiaTheme="minorEastAsia"/>
          <w:kern w:val="0"/>
          <w:sz w:val="28"/>
          <w:szCs w:val="28"/>
        </w:rPr>
        <w:t>的</w:t>
      </w:r>
      <w:r>
        <w:rPr>
          <w:rFonts w:hint="eastAsia" w:cs="KTJ+ZCKJpU-1" w:asciiTheme="minorEastAsia" w:hAnsiTheme="minorEastAsia" w:eastAsiaTheme="minorEastAsia"/>
          <w:kern w:val="0"/>
          <w:sz w:val="28"/>
          <w:szCs w:val="28"/>
        </w:rPr>
        <w:t>生</w:t>
      </w:r>
      <w:r>
        <w:rPr>
          <w:rFonts w:hint="eastAsia" w:cs="KTJ+ZCKJpU-7" w:asciiTheme="minorEastAsia" w:hAnsiTheme="minorEastAsia" w:eastAsiaTheme="minorEastAsia"/>
          <w:kern w:val="0"/>
          <w:sz w:val="28"/>
          <w:szCs w:val="28"/>
        </w:rPr>
        <w:t>态</w:t>
      </w:r>
      <w:r>
        <w:rPr>
          <w:rFonts w:hint="eastAsia" w:cs="KTJ+ZCKJpU-5" w:asciiTheme="minorEastAsia" w:hAnsiTheme="minorEastAsia" w:eastAsiaTheme="minorEastAsia"/>
          <w:kern w:val="0"/>
          <w:sz w:val="28"/>
          <w:szCs w:val="28"/>
        </w:rPr>
        <w:t>性</w:t>
      </w:r>
      <w:r>
        <w:rPr>
          <w:rFonts w:hint="eastAsia" w:cs="KTJ+ZCKJpU-4" w:asciiTheme="minorEastAsia" w:hAnsiTheme="minorEastAsia" w:eastAsiaTheme="minorEastAsia"/>
          <w:kern w:val="0"/>
          <w:sz w:val="28"/>
          <w:szCs w:val="28"/>
        </w:rPr>
        <w:t>、</w:t>
      </w:r>
      <w:r>
        <w:rPr>
          <w:rFonts w:hint="eastAsia" w:cs="KTJ+ZCKJpU-5" w:asciiTheme="minorEastAsia" w:hAnsiTheme="minorEastAsia" w:eastAsiaTheme="minorEastAsia"/>
          <w:kern w:val="0"/>
          <w:sz w:val="28"/>
          <w:szCs w:val="28"/>
        </w:rPr>
        <w:t>特</w:t>
      </w:r>
      <w:r>
        <w:rPr>
          <w:rFonts w:hint="eastAsia" w:cs="KTJ+ZCKJpV-11" w:asciiTheme="minorEastAsia" w:hAnsiTheme="minorEastAsia" w:eastAsiaTheme="minorEastAsia"/>
          <w:kern w:val="0"/>
          <w:sz w:val="28"/>
          <w:szCs w:val="28"/>
        </w:rPr>
        <w:t>色</w:t>
      </w:r>
      <w:r>
        <w:rPr>
          <w:rFonts w:hint="eastAsia" w:cs="KTJ+ZCKJpU-5" w:asciiTheme="minorEastAsia" w:hAnsiTheme="minorEastAsia" w:eastAsiaTheme="minorEastAsia"/>
          <w:kern w:val="0"/>
          <w:sz w:val="28"/>
          <w:szCs w:val="28"/>
        </w:rPr>
        <w:t>性、</w:t>
      </w:r>
      <w:r>
        <w:rPr>
          <w:rFonts w:hint="eastAsia" w:cs="KTJ+ZCKJpb-33" w:asciiTheme="minorEastAsia" w:hAnsiTheme="minorEastAsia" w:eastAsiaTheme="minorEastAsia"/>
          <w:kern w:val="0"/>
          <w:sz w:val="28"/>
          <w:szCs w:val="28"/>
        </w:rPr>
        <w:t>乡</w:t>
      </w:r>
      <w:r>
        <w:rPr>
          <w:rFonts w:hint="eastAsia" w:cs="KTJ+ZCKJpX-20" w:asciiTheme="minorEastAsia" w:hAnsiTheme="minorEastAsia" w:eastAsiaTheme="minorEastAsia"/>
          <w:kern w:val="0"/>
          <w:sz w:val="28"/>
          <w:szCs w:val="28"/>
        </w:rPr>
        <w:t>土</w:t>
      </w:r>
      <w:r>
        <w:rPr>
          <w:rFonts w:hint="eastAsia" w:cs="KTJ+ZCKJpU-5" w:asciiTheme="minorEastAsia" w:hAnsiTheme="minorEastAsia" w:eastAsiaTheme="minorEastAsia"/>
          <w:kern w:val="0"/>
          <w:sz w:val="28"/>
          <w:szCs w:val="28"/>
        </w:rPr>
        <w:t>性特</w:t>
      </w:r>
      <w:r>
        <w:rPr>
          <w:rFonts w:hint="eastAsia" w:cs="KTJ+ZCKJpU-6" w:asciiTheme="minorEastAsia" w:hAnsiTheme="minorEastAsia" w:eastAsiaTheme="minorEastAsia"/>
          <w:kern w:val="0"/>
          <w:sz w:val="28"/>
          <w:szCs w:val="28"/>
        </w:rPr>
        <w:t>点</w:t>
      </w:r>
      <w:r>
        <w:rPr>
          <w:rFonts w:hint="eastAsia" w:cs="KTJ+ZCKJpU-1" w:asciiTheme="minorEastAsia" w:hAnsiTheme="minorEastAsia" w:eastAsiaTheme="minorEastAsia"/>
          <w:kern w:val="0"/>
          <w:sz w:val="28"/>
          <w:szCs w:val="28"/>
        </w:rPr>
        <w:t>，创新营地发展模式，重点打造汽车</w:t>
      </w:r>
      <w:r>
        <w:rPr>
          <w:rFonts w:cs="KTJ+ZCKJpU-1" w:asciiTheme="minorEastAsia" w:hAnsiTheme="minorEastAsia" w:eastAsiaTheme="minorEastAsia"/>
          <w:kern w:val="0"/>
          <w:sz w:val="28"/>
          <w:szCs w:val="28"/>
        </w:rPr>
        <w:t>自驾旅游</w:t>
      </w:r>
      <w:r>
        <w:rPr>
          <w:rFonts w:hint="eastAsia" w:asciiTheme="minorEastAsia" w:hAnsiTheme="minorEastAsia" w:eastAsiaTheme="minorEastAsia"/>
          <w:sz w:val="28"/>
          <w:szCs w:val="28"/>
        </w:rPr>
        <w:t>农业、农村后备箱工程。面向农村自驾游客，开发租售露营用品、户外用品等业务，推动农村“后备箱经济”日渐兴盛。</w:t>
      </w:r>
    </w:p>
    <w:p>
      <w:pPr>
        <w:pageBreakBefore w:val="0"/>
        <w:kinsoku/>
        <w:wordWrap/>
        <w:overflowPunct/>
        <w:topLinePunct w:val="0"/>
        <w:bidi w:val="0"/>
        <w:snapToGrid/>
        <w:spacing w:line="600" w:lineRule="exact"/>
        <w:ind w:firstLine="560" w:firstLineChars="200"/>
        <w:textAlignment w:val="auto"/>
        <w:rPr>
          <w:rFonts w:asciiTheme="minorEastAsia" w:hAnsiTheme="minorEastAsia" w:eastAsiaTheme="minorEastAsia"/>
          <w:color w:val="FF0000"/>
          <w:sz w:val="28"/>
          <w:szCs w:val="28"/>
        </w:rPr>
      </w:pPr>
      <w:r>
        <w:rPr>
          <w:rFonts w:hint="eastAsia" w:ascii="仿宋_GB2312" w:eastAsia="仿宋_GB2312"/>
          <w:sz w:val="28"/>
          <w:szCs w:val="28"/>
        </w:rPr>
        <w:t>“营地+体育公园”。</w:t>
      </w:r>
      <w:r>
        <w:rPr>
          <w:rFonts w:hint="eastAsia"/>
          <w:sz w:val="28"/>
          <w:szCs w:val="28"/>
        </w:rPr>
        <w:t>充分结合淮北</w:t>
      </w:r>
      <w:r>
        <w:rPr>
          <w:rFonts w:hint="eastAsia"/>
          <w:sz w:val="28"/>
          <w:szCs w:val="28"/>
          <w:lang w:eastAsia="zh-CN"/>
        </w:rPr>
        <w:t>市</w:t>
      </w:r>
      <w:r>
        <w:rPr>
          <w:rFonts w:hint="eastAsia"/>
          <w:sz w:val="28"/>
          <w:szCs w:val="28"/>
        </w:rPr>
        <w:t>南湖公园、温州市洞头区蓝港体育公园</w:t>
      </w:r>
      <w:r>
        <w:rPr>
          <w:sz w:val="28"/>
          <w:szCs w:val="28"/>
        </w:rPr>
        <w:t>、</w:t>
      </w:r>
      <w:r>
        <w:rPr>
          <w:rFonts w:hint="eastAsia"/>
          <w:sz w:val="28"/>
          <w:szCs w:val="28"/>
        </w:rPr>
        <w:t>扬州市宋</w:t>
      </w:r>
      <w:r>
        <w:rPr>
          <w:sz w:val="28"/>
          <w:szCs w:val="28"/>
        </w:rPr>
        <w:t>夹城体育</w:t>
      </w:r>
      <w:r>
        <w:rPr>
          <w:rFonts w:ascii="宋体" w:hAnsi="宋体"/>
          <w:sz w:val="28"/>
          <w:szCs w:val="28"/>
          <w:shd w:val="clear" w:color="auto" w:fill="FFFFFF"/>
        </w:rPr>
        <w:t>公园</w:t>
      </w:r>
      <w:r>
        <w:rPr>
          <w:rFonts w:hint="eastAsia" w:ascii="宋体" w:hAnsi="宋体"/>
          <w:sz w:val="28"/>
          <w:szCs w:val="28"/>
          <w:shd w:val="clear" w:color="auto" w:fill="FFFFFF"/>
        </w:rPr>
        <w:t>等的</w:t>
      </w:r>
      <w:r>
        <w:rPr>
          <w:rFonts w:hint="eastAsia"/>
          <w:sz w:val="28"/>
          <w:szCs w:val="28"/>
        </w:rPr>
        <w:t>体育设施、休闲娱乐、环境资源</w:t>
      </w:r>
      <w:r>
        <w:rPr>
          <w:rFonts w:ascii="宋体" w:hAnsi="宋体"/>
          <w:sz w:val="28"/>
          <w:szCs w:val="28"/>
          <w:shd w:val="clear" w:color="auto" w:fill="FFFFFF"/>
        </w:rPr>
        <w:t>，</w:t>
      </w:r>
      <w:r>
        <w:rPr>
          <w:rFonts w:hint="eastAsia" w:ascii="宋体" w:hAnsi="宋体"/>
          <w:sz w:val="28"/>
          <w:szCs w:val="28"/>
          <w:shd w:val="clear" w:color="auto" w:fill="FFFFFF"/>
        </w:rPr>
        <w:t>打造</w:t>
      </w:r>
      <w:r>
        <w:rPr>
          <w:rFonts w:ascii="宋体" w:hAnsi="宋体"/>
          <w:sz w:val="28"/>
          <w:szCs w:val="28"/>
          <w:shd w:val="clear" w:color="auto" w:fill="FFFFFF"/>
        </w:rPr>
        <w:t>以休闲娱乐为主题的汽车自驾</w:t>
      </w:r>
      <w:r>
        <w:rPr>
          <w:rFonts w:hint="eastAsia" w:ascii="宋体" w:hAnsi="宋体"/>
          <w:sz w:val="28"/>
          <w:szCs w:val="28"/>
          <w:shd w:val="clear" w:color="auto" w:fill="FFFFFF"/>
        </w:rPr>
        <w:t>交流</w:t>
      </w:r>
      <w:r>
        <w:rPr>
          <w:rFonts w:ascii="宋体" w:hAnsi="宋体"/>
          <w:sz w:val="28"/>
          <w:szCs w:val="28"/>
          <w:shd w:val="clear" w:color="auto" w:fill="FFFFFF"/>
        </w:rPr>
        <w:t>活动</w:t>
      </w:r>
      <w:r>
        <w:rPr>
          <w:rFonts w:hint="eastAsia" w:ascii="宋体" w:hAnsi="宋体"/>
          <w:sz w:val="28"/>
          <w:szCs w:val="28"/>
          <w:shd w:val="clear" w:color="auto" w:fill="FFFFFF"/>
        </w:rPr>
        <w:t>。紧密结合营地独有的主题概念特点，开发亲民化、个性化的体育公园娱乐项目，进一步激发体育公园服务载体功能。以营地为体育公园各类活动的综合补给点，推动汽车自驾、自行车骑行、步行穿越、水上运动等户外运动的发展。</w:t>
      </w:r>
    </w:p>
    <w:p>
      <w:pPr>
        <w:pageBreakBefore w:val="0"/>
        <w:kinsoku/>
        <w:wordWrap/>
        <w:overflowPunct/>
        <w:topLinePunct w:val="0"/>
        <w:bidi w:val="0"/>
        <w:snapToGrid/>
        <w:spacing w:line="600" w:lineRule="exact"/>
        <w:ind w:firstLine="561" w:firstLineChars="200"/>
        <w:textAlignment w:val="auto"/>
        <w:rPr>
          <w:rFonts w:ascii="Times New Roman" w:hAnsi="Times New Roman" w:eastAsia="华文中宋"/>
          <w:b/>
          <w:bCs/>
          <w:sz w:val="28"/>
          <w:szCs w:val="28"/>
        </w:rPr>
      </w:pPr>
      <w:r>
        <w:rPr>
          <w:rFonts w:hint="eastAsia" w:ascii="Times New Roman" w:hAnsi="Times New Roman" w:eastAsia="华文中宋"/>
          <w:b/>
          <w:bCs/>
          <w:sz w:val="28"/>
          <w:szCs w:val="28"/>
        </w:rPr>
        <w:t>（五）深化汽车运动产业融合发展</w:t>
      </w:r>
    </w:p>
    <w:p>
      <w:pPr>
        <w:pageBreakBefore w:val="0"/>
        <w:kinsoku/>
        <w:wordWrap/>
        <w:overflowPunct/>
        <w:topLinePunct w:val="0"/>
        <w:bidi w:val="0"/>
        <w:snapToGrid/>
        <w:spacing w:line="600" w:lineRule="exact"/>
        <w:ind w:firstLine="560" w:firstLineChars="200"/>
        <w:textAlignment w:val="auto"/>
        <w:rPr>
          <w:rFonts w:asciiTheme="minorEastAsia" w:hAnsiTheme="minorEastAsia" w:eastAsiaTheme="minorEastAsia"/>
          <w:sz w:val="28"/>
          <w:szCs w:val="28"/>
        </w:rPr>
      </w:pPr>
      <w:r>
        <w:rPr>
          <w:rFonts w:hint="eastAsia" w:ascii="仿宋_GB2312" w:eastAsia="仿宋_GB2312"/>
          <w:sz w:val="28"/>
          <w:szCs w:val="28"/>
        </w:rPr>
        <w:t>汽车运动与数</w:t>
      </w:r>
      <w:r>
        <w:rPr>
          <w:rFonts w:hint="eastAsia" w:ascii="宋体" w:hAnsi="宋体" w:cs="宋体"/>
          <w:sz w:val="28"/>
          <w:szCs w:val="28"/>
        </w:rPr>
        <w:t>字经济</w:t>
      </w:r>
      <w:r>
        <w:rPr>
          <w:rFonts w:hint="eastAsia" w:ascii="仿宋_GB2312" w:eastAsia="仿宋_GB2312"/>
          <w:sz w:val="28"/>
          <w:szCs w:val="28"/>
        </w:rPr>
        <w:t>融合。</w:t>
      </w:r>
      <w:r>
        <w:rPr>
          <w:rFonts w:hint="eastAsia" w:asciiTheme="minorEastAsia" w:hAnsiTheme="minorEastAsia" w:eastAsiaTheme="minorEastAsia"/>
          <w:sz w:val="28"/>
          <w:szCs w:val="28"/>
        </w:rPr>
        <w:t>利用现代互联网、物联网等高新技术，推出专业驾驶线路、景区票务预订、酒店预订、交通票务预订、汽车维修站等迅捷的信息服务，提供“全方位、全区域、全时段覆盖、数据同步、实时更新”的</w:t>
      </w:r>
      <w:r>
        <w:rPr>
          <w:rFonts w:hint="eastAsia" w:asciiTheme="minorEastAsia" w:hAnsiTheme="minorEastAsia" w:eastAsiaTheme="minorEastAsia"/>
          <w:bCs/>
          <w:sz w:val="28"/>
          <w:szCs w:val="28"/>
        </w:rPr>
        <w:t>汽车智慧旅游新体验</w:t>
      </w:r>
      <w:r>
        <w:rPr>
          <w:rFonts w:hint="eastAsia" w:asciiTheme="minorEastAsia" w:hAnsiTheme="minorEastAsia" w:eastAsiaTheme="minorEastAsia"/>
          <w:sz w:val="28"/>
          <w:szCs w:val="28"/>
        </w:rPr>
        <w:t>。鼓励支持社会力量建立覆盖长三角地区旅行社、星级饭店、主要景区的信息网络体系，完善旅游信息适时采集、查询机制，</w:t>
      </w:r>
      <w:r>
        <w:rPr>
          <w:rFonts w:asciiTheme="minorEastAsia" w:hAnsiTheme="minorEastAsia" w:eastAsiaTheme="minorEastAsia"/>
          <w:sz w:val="28"/>
          <w:szCs w:val="28"/>
        </w:rPr>
        <w:t>打造长三角地区“</w:t>
      </w:r>
      <w:r>
        <w:rPr>
          <w:rFonts w:hint="eastAsia" w:asciiTheme="minorEastAsia" w:hAnsiTheme="minorEastAsia" w:eastAsiaTheme="minorEastAsia"/>
          <w:sz w:val="28"/>
          <w:szCs w:val="28"/>
        </w:rPr>
        <w:t>智慧自驾</w:t>
      </w:r>
      <w:r>
        <w:rPr>
          <w:rFonts w:asciiTheme="minorEastAsia" w:hAnsiTheme="minorEastAsia" w:eastAsiaTheme="minorEastAsia"/>
          <w:sz w:val="28"/>
          <w:szCs w:val="28"/>
        </w:rPr>
        <w:t>游”</w:t>
      </w:r>
      <w:r>
        <w:rPr>
          <w:rFonts w:hint="eastAsia" w:asciiTheme="minorEastAsia" w:hAnsiTheme="minorEastAsia" w:eastAsiaTheme="minorEastAsia"/>
          <w:sz w:val="28"/>
          <w:szCs w:val="28"/>
        </w:rPr>
        <w:t>体系。</w:t>
      </w:r>
      <w:r>
        <w:rPr>
          <w:rFonts w:hint="eastAsia" w:ascii="宋体" w:hAnsi="宋体" w:cs="宋体"/>
          <w:sz w:val="28"/>
          <w:szCs w:val="28"/>
        </w:rPr>
        <w:t>结合运动汽车定制化改装</w:t>
      </w:r>
      <w:r>
        <w:rPr>
          <w:rFonts w:hint="eastAsia" w:ascii="宋体" w:hAnsi="宋体" w:cs="宋体"/>
          <w:sz w:val="28"/>
          <w:szCs w:val="28"/>
          <w:lang w:eastAsia="zh-CN"/>
        </w:rPr>
        <w:t>需求</w:t>
      </w:r>
      <w:r>
        <w:rPr>
          <w:rFonts w:hint="eastAsia" w:ascii="宋体" w:hAnsi="宋体" w:cs="宋体"/>
          <w:sz w:val="28"/>
          <w:szCs w:val="28"/>
        </w:rPr>
        <w:t>，提升汽车运动的智能化</w:t>
      </w:r>
      <w:r>
        <w:rPr>
          <w:rFonts w:hint="eastAsia" w:ascii="宋体" w:hAnsi="宋体" w:cs="宋体"/>
          <w:sz w:val="28"/>
          <w:szCs w:val="28"/>
          <w:lang w:eastAsia="zh-CN"/>
        </w:rPr>
        <w:t>水平。</w:t>
      </w:r>
    </w:p>
    <w:p>
      <w:pPr>
        <w:pageBreakBefore w:val="0"/>
        <w:kinsoku/>
        <w:wordWrap/>
        <w:overflowPunct/>
        <w:topLinePunct w:val="0"/>
        <w:bidi w:val="0"/>
        <w:snapToGrid/>
        <w:spacing w:line="600" w:lineRule="exact"/>
        <w:ind w:firstLine="560" w:firstLineChars="200"/>
        <w:textAlignment w:val="auto"/>
        <w:rPr>
          <w:rFonts w:asciiTheme="minorEastAsia" w:hAnsiTheme="minorEastAsia" w:eastAsiaTheme="minorEastAsia"/>
          <w:sz w:val="28"/>
          <w:szCs w:val="28"/>
        </w:rPr>
      </w:pPr>
      <w:r>
        <w:rPr>
          <w:rFonts w:hint="eastAsia" w:ascii="仿宋_GB2312" w:eastAsia="仿宋_GB2312"/>
          <w:sz w:val="28"/>
          <w:szCs w:val="28"/>
        </w:rPr>
        <w:t>汽车运动与康养融合。</w:t>
      </w:r>
      <w:r>
        <w:rPr>
          <w:rFonts w:hint="eastAsia" w:cs="仿宋" w:asciiTheme="minorEastAsia" w:hAnsiTheme="minorEastAsia" w:eastAsiaTheme="minorEastAsia"/>
          <w:sz w:val="28"/>
          <w:szCs w:val="28"/>
        </w:rPr>
        <w:t>以各类汽车运动活动为载体，广泛宣传汽车运动健康、绿色、环保新理念，深度推广</w:t>
      </w:r>
      <w:r>
        <w:rPr>
          <w:rFonts w:cs="Arial" w:asciiTheme="minorEastAsia" w:hAnsiTheme="minorEastAsia" w:eastAsiaTheme="minorEastAsia"/>
          <w:sz w:val="28"/>
          <w:szCs w:val="28"/>
          <w:shd w:val="clear" w:color="auto" w:fill="FFFFFF"/>
        </w:rPr>
        <w:t>汽车旅游、探险、娱乐和表演活动</w:t>
      </w:r>
      <w:r>
        <w:rPr>
          <w:rFonts w:hint="eastAsia" w:cs="Arial" w:asciiTheme="minorEastAsia" w:hAnsiTheme="minorEastAsia" w:eastAsiaTheme="minorEastAsia"/>
          <w:sz w:val="28"/>
          <w:szCs w:val="28"/>
          <w:shd w:val="clear" w:color="auto" w:fill="FFFFFF"/>
        </w:rPr>
        <w:t>的科学运动新方式,增强汽车运动与健康体验的粘性。</w:t>
      </w:r>
      <w:r>
        <w:rPr>
          <w:rFonts w:hint="eastAsia" w:cs="仿宋" w:asciiTheme="minorEastAsia" w:hAnsiTheme="minorEastAsia" w:eastAsiaTheme="minorEastAsia"/>
          <w:sz w:val="28"/>
          <w:szCs w:val="28"/>
        </w:rPr>
        <w:t>鼓励市场主体开发汽车运动相关的营养品、科学装备、健康检测设备等产品，促进汽车运动与健康产业的深度融合。</w:t>
      </w:r>
    </w:p>
    <w:p>
      <w:pPr>
        <w:pageBreakBefore w:val="0"/>
        <w:kinsoku/>
        <w:wordWrap/>
        <w:overflowPunct/>
        <w:topLinePunct w:val="0"/>
        <w:bidi w:val="0"/>
        <w:snapToGrid/>
        <w:spacing w:line="600" w:lineRule="exact"/>
        <w:ind w:firstLine="560" w:firstLineChars="200"/>
        <w:textAlignment w:val="auto"/>
        <w:rPr>
          <w:rFonts w:asciiTheme="minorEastAsia" w:hAnsiTheme="minorEastAsia" w:eastAsiaTheme="minorEastAsia"/>
          <w:sz w:val="28"/>
          <w:szCs w:val="28"/>
        </w:rPr>
      </w:pPr>
      <w:r>
        <w:rPr>
          <w:rFonts w:hint="eastAsia" w:ascii="仿宋_GB2312" w:eastAsia="仿宋_GB2312"/>
          <w:sz w:val="28"/>
          <w:szCs w:val="28"/>
        </w:rPr>
        <w:t>汽车运动与文化融合。</w:t>
      </w:r>
      <w:r>
        <w:rPr>
          <w:rFonts w:hint="eastAsia" w:asciiTheme="minorEastAsia" w:hAnsiTheme="minorEastAsia" w:eastAsiaTheme="minorEastAsia"/>
          <w:sz w:val="28"/>
          <w:szCs w:val="28"/>
        </w:rPr>
        <w:t>以各类汽车运动赛事活动为平台，推动汽车运动知识与营地文化营销，加强汽车运动与影视文化、赛车文化、消费文化的融合发展。鼓励创办国产汽车运动类节目，支持形式多样的汽车运动题材文艺创作。建立汽车运动赛事、爱好者、车迷的互动平台，增强汽车运动文化的深度交流。</w:t>
      </w:r>
    </w:p>
    <w:p>
      <w:pPr>
        <w:pageBreakBefore w:val="0"/>
        <w:kinsoku/>
        <w:wordWrap/>
        <w:overflowPunct/>
        <w:topLinePunct w:val="0"/>
        <w:bidi w:val="0"/>
        <w:snapToGrid/>
        <w:spacing w:line="600" w:lineRule="exact"/>
        <w:ind w:firstLine="560" w:firstLineChars="200"/>
        <w:textAlignment w:val="auto"/>
        <w:rPr>
          <w:rFonts w:cs="FZFSK--GBK1-0" w:asciiTheme="minorEastAsia" w:hAnsiTheme="minorEastAsia" w:eastAsiaTheme="minorEastAsia"/>
          <w:kern w:val="0"/>
          <w:sz w:val="28"/>
          <w:szCs w:val="28"/>
        </w:rPr>
      </w:pPr>
      <w:r>
        <w:rPr>
          <w:rFonts w:hint="eastAsia" w:ascii="仿宋_GB2312" w:eastAsia="仿宋_GB2312"/>
          <w:sz w:val="28"/>
          <w:szCs w:val="28"/>
        </w:rPr>
        <w:t>汽车运动与教育融合。</w:t>
      </w:r>
      <w:r>
        <w:rPr>
          <w:rFonts w:hint="eastAsia" w:asciiTheme="minorEastAsia" w:hAnsiTheme="minorEastAsia" w:eastAsiaTheme="minorEastAsia"/>
          <w:sz w:val="28"/>
          <w:szCs w:val="28"/>
        </w:rPr>
        <w:t>充分利用长三角地区丰富的教育资源，推动安徽师范大学等区域内高等院校</w:t>
      </w:r>
      <w:r>
        <w:rPr>
          <w:rFonts w:hint="eastAsia" w:cs="方正仿宋_GBK" w:asciiTheme="minorEastAsia" w:hAnsiTheme="minorEastAsia" w:eastAsiaTheme="minorEastAsia"/>
          <w:sz w:val="28"/>
          <w:szCs w:val="28"/>
        </w:rPr>
        <w:t>增设运动休闲营地专业，建立产学研合作机制，促进汽车运动产业与教育的融合发展</w:t>
      </w:r>
      <w:r>
        <w:rPr>
          <w:rFonts w:hint="eastAsia" w:asciiTheme="minorEastAsia" w:hAnsiTheme="minorEastAsia" w:eastAsiaTheme="minorEastAsia"/>
          <w:sz w:val="28"/>
          <w:szCs w:val="28"/>
        </w:rPr>
        <w:t>。</w:t>
      </w:r>
      <w:r>
        <w:rPr>
          <w:rFonts w:hint="eastAsia" w:cs="FZFSK--GBK1-0" w:asciiTheme="minorEastAsia" w:hAnsiTheme="minorEastAsia" w:eastAsiaTheme="minorEastAsia"/>
          <w:kern w:val="0"/>
          <w:sz w:val="28"/>
          <w:szCs w:val="28"/>
        </w:rPr>
        <w:t>支持企业、高校、科研院所等多方资源整合，推进汽车运动领域共性技术系统性、协同性研发攻关。</w:t>
      </w:r>
      <w:r>
        <w:rPr>
          <w:rFonts w:hint="eastAsia" w:asciiTheme="minorEastAsia" w:hAnsiTheme="minorEastAsia" w:eastAsiaTheme="minorEastAsia"/>
          <w:sz w:val="28"/>
          <w:szCs w:val="28"/>
        </w:rPr>
        <w:t>打造</w:t>
      </w:r>
      <w:r>
        <w:rPr>
          <w:rFonts w:hint="eastAsia" w:cs="FZFSK--GBK1-0" w:asciiTheme="minorEastAsia" w:hAnsiTheme="minorEastAsia" w:eastAsiaTheme="minorEastAsia"/>
          <w:kern w:val="0"/>
          <w:sz w:val="28"/>
          <w:szCs w:val="28"/>
        </w:rPr>
        <w:t>“营地+研学”平台，</w:t>
      </w:r>
      <w:r>
        <w:rPr>
          <w:rFonts w:hint="eastAsia" w:asciiTheme="minorEastAsia" w:hAnsiTheme="minorEastAsia" w:eastAsiaTheme="minorEastAsia"/>
          <w:sz w:val="28"/>
          <w:szCs w:val="28"/>
        </w:rPr>
        <w:t>鼓励各类教育培训与汽车自驾运动营地开展深度合作</w:t>
      </w:r>
      <w:r>
        <w:rPr>
          <w:rFonts w:hint="eastAsia" w:cs="FZFSK--GBK1-0" w:asciiTheme="minorEastAsia" w:hAnsiTheme="minorEastAsia" w:eastAsiaTheme="minorEastAsia"/>
          <w:kern w:val="0"/>
          <w:sz w:val="28"/>
          <w:szCs w:val="28"/>
        </w:rPr>
        <w:t>，实现营地教育一条龙服务。</w:t>
      </w:r>
    </w:p>
    <w:p>
      <w:pPr>
        <w:pageBreakBefore w:val="0"/>
        <w:kinsoku/>
        <w:wordWrap/>
        <w:overflowPunct/>
        <w:topLinePunct w:val="0"/>
        <w:bidi w:val="0"/>
        <w:snapToGrid/>
        <w:spacing w:before="156" w:beforeLines="50" w:after="156" w:afterLines="50" w:line="600" w:lineRule="exact"/>
        <w:ind w:firstLine="562" w:firstLineChars="200"/>
        <w:textAlignment w:val="auto"/>
        <w:rPr>
          <w:rFonts w:ascii="黑体" w:hAnsi="黑体" w:eastAsia="黑体" w:cs="黑体"/>
          <w:b/>
          <w:bCs/>
          <w:sz w:val="28"/>
          <w:szCs w:val="28"/>
        </w:rPr>
      </w:pPr>
      <w:r>
        <w:rPr>
          <w:rFonts w:hint="eastAsia" w:ascii="黑体" w:hAnsi="黑体" w:eastAsia="黑体" w:cs="黑体"/>
          <w:b/>
          <w:bCs/>
          <w:sz w:val="28"/>
          <w:szCs w:val="28"/>
        </w:rPr>
        <w:t>四、保障措施</w:t>
      </w:r>
    </w:p>
    <w:p>
      <w:pPr>
        <w:pageBreakBefore w:val="0"/>
        <w:kinsoku/>
        <w:wordWrap/>
        <w:overflowPunct/>
        <w:topLinePunct w:val="0"/>
        <w:bidi w:val="0"/>
        <w:snapToGrid/>
        <w:spacing w:line="600" w:lineRule="exact"/>
        <w:ind w:firstLine="561" w:firstLineChars="200"/>
        <w:textAlignment w:val="auto"/>
        <w:rPr>
          <w:rFonts w:ascii="Times New Roman" w:hAnsi="Times New Roman" w:eastAsia="华文中宋"/>
          <w:b/>
          <w:bCs/>
          <w:sz w:val="28"/>
          <w:szCs w:val="28"/>
        </w:rPr>
      </w:pPr>
      <w:r>
        <w:rPr>
          <w:rFonts w:hint="eastAsia" w:ascii="Times New Roman" w:hAnsi="Times New Roman" w:eastAsia="华文中宋"/>
          <w:b/>
          <w:bCs/>
          <w:sz w:val="28"/>
          <w:szCs w:val="28"/>
        </w:rPr>
        <w:t>（一）加强组织领导</w:t>
      </w:r>
    </w:p>
    <w:p>
      <w:pPr>
        <w:pageBreakBefore w:val="0"/>
        <w:kinsoku/>
        <w:wordWrap/>
        <w:overflowPunct/>
        <w:topLinePunct w:val="0"/>
        <w:bidi w:val="0"/>
        <w:snapToGrid/>
        <w:spacing w:line="600" w:lineRule="exact"/>
        <w:ind w:firstLine="560" w:firstLineChars="200"/>
        <w:textAlignment w:val="auto"/>
        <w:rPr>
          <w:rFonts w:cs="FZFSK--GBK1-0" w:asciiTheme="minorEastAsia" w:hAnsiTheme="minorEastAsia" w:eastAsiaTheme="minorEastAsia"/>
          <w:kern w:val="0"/>
          <w:sz w:val="28"/>
          <w:szCs w:val="28"/>
        </w:rPr>
      </w:pPr>
      <w:r>
        <w:rPr>
          <w:rFonts w:hint="eastAsia" w:cs="FZFSK--GBK1-0" w:asciiTheme="minorEastAsia" w:hAnsiTheme="minorEastAsia" w:eastAsiaTheme="minorEastAsia"/>
          <w:kern w:val="0"/>
          <w:sz w:val="28"/>
          <w:szCs w:val="28"/>
        </w:rPr>
        <w:t>成立由三省一市体育行政部门主要负责人参加的长三角体育一体化发展领导小组，统筹研究长三角体育重大规划、重大政策、重大项目，协调解决重大问题，督促落实重大事项，推动长三角体育一体化发展战略全面实施。成立由三省一市体育产业部门负责人参加的长三角汽车运动产业一体化发展协作机构，主要负责制定总体发展规划和年度工作计划，加强工作协调，确保规划内容有效执行。</w:t>
      </w:r>
      <w:r>
        <w:rPr>
          <w:rFonts w:hint="eastAsia" w:cs="FZFSK--GBK1-0" w:asciiTheme="minorEastAsia" w:hAnsiTheme="minorEastAsia" w:eastAsiaTheme="minorEastAsia"/>
          <w:kern w:val="0"/>
          <w:sz w:val="28"/>
          <w:szCs w:val="28"/>
          <w:lang w:eastAsia="zh-CN"/>
        </w:rPr>
        <w:t>进一步</w:t>
      </w:r>
      <w:r>
        <w:rPr>
          <w:rFonts w:hint="eastAsia" w:cs="FZFSK--GBK1-0" w:asciiTheme="minorEastAsia" w:hAnsiTheme="minorEastAsia" w:eastAsiaTheme="minorEastAsia"/>
          <w:kern w:val="0"/>
          <w:sz w:val="28"/>
          <w:szCs w:val="28"/>
        </w:rPr>
        <w:t>明确工作分工，制定具体行动计划和专项推进方案，把</w:t>
      </w:r>
      <w:r>
        <w:rPr>
          <w:rFonts w:hint="eastAsia" w:cs="FZFSK--GBK1-0" w:asciiTheme="minorEastAsia" w:hAnsiTheme="minorEastAsia" w:eastAsiaTheme="minorEastAsia"/>
          <w:kern w:val="0"/>
          <w:sz w:val="28"/>
          <w:szCs w:val="28"/>
          <w:lang w:eastAsia="zh-CN"/>
        </w:rPr>
        <w:t>发展规划</w:t>
      </w:r>
      <w:r>
        <w:rPr>
          <w:rFonts w:hint="eastAsia" w:cs="FZFSK--GBK1-0" w:asciiTheme="minorEastAsia" w:hAnsiTheme="minorEastAsia" w:eastAsiaTheme="minorEastAsia"/>
          <w:kern w:val="0"/>
          <w:sz w:val="28"/>
          <w:szCs w:val="28"/>
        </w:rPr>
        <w:t>确定的各项任务落到实处。</w:t>
      </w:r>
    </w:p>
    <w:p>
      <w:pPr>
        <w:pageBreakBefore w:val="0"/>
        <w:kinsoku/>
        <w:wordWrap/>
        <w:overflowPunct/>
        <w:topLinePunct w:val="0"/>
        <w:bidi w:val="0"/>
        <w:snapToGrid/>
        <w:spacing w:line="600" w:lineRule="exact"/>
        <w:ind w:firstLine="561" w:firstLineChars="200"/>
        <w:textAlignment w:val="auto"/>
        <w:rPr>
          <w:rFonts w:ascii="Times New Roman" w:hAnsi="Times New Roman" w:eastAsia="华文中宋"/>
          <w:b/>
          <w:bCs/>
          <w:sz w:val="28"/>
          <w:szCs w:val="28"/>
        </w:rPr>
      </w:pPr>
      <w:r>
        <w:rPr>
          <w:rFonts w:hint="eastAsia" w:ascii="Times New Roman" w:hAnsi="Times New Roman" w:eastAsia="华文中宋"/>
          <w:b/>
          <w:bCs/>
          <w:sz w:val="28"/>
          <w:szCs w:val="28"/>
        </w:rPr>
        <w:t>（二）完善政策体系</w:t>
      </w:r>
    </w:p>
    <w:p>
      <w:pPr>
        <w:pageBreakBefore w:val="0"/>
        <w:kinsoku/>
        <w:wordWrap/>
        <w:overflowPunct/>
        <w:topLinePunct w:val="0"/>
        <w:bidi w:val="0"/>
        <w:snapToGrid/>
        <w:spacing w:line="600" w:lineRule="exact"/>
        <w:ind w:firstLine="560" w:firstLineChars="200"/>
        <w:textAlignment w:val="auto"/>
        <w:rPr>
          <w:rFonts w:cs="FZFSK--GBK1-0" w:asciiTheme="minorEastAsia" w:hAnsiTheme="minorEastAsia" w:eastAsiaTheme="minorEastAsia"/>
          <w:kern w:val="0"/>
          <w:sz w:val="28"/>
          <w:szCs w:val="28"/>
        </w:rPr>
      </w:pPr>
      <w:r>
        <w:rPr>
          <w:rFonts w:hint="eastAsia" w:cs="FZFSK--GBK1-0" w:asciiTheme="minorEastAsia" w:hAnsiTheme="minorEastAsia" w:eastAsiaTheme="minorEastAsia"/>
          <w:kern w:val="0"/>
          <w:sz w:val="28"/>
          <w:szCs w:val="28"/>
        </w:rPr>
        <w:t>切实落实国家支持体育产业发展的规划、税费、价格、土地等政策。三省一市体育行政部门要高度重视汽车运动产业一体化工作，通过政府购买服务、体育赛事活动安排等方式加强对汽车运动产业支持。积极利用体育产业协会等发展平台，开展汽车露营大会、营地装备展示、营地招商推介、营地预定服务等工作，为汽车自驾运动营地的发展提供服务支持。充分利用现有各级各类资金渠道，积极引导以社会资本为主体的各类产业投资基金投向汽车自驾运动营地的建设、运营和管理，有条件的地区要通过加强与银行等金融机构的合作、组织项目推介会等形式，为汽车自驾运动营地的建设提供融资、新增贷款贴息等支持。</w:t>
      </w:r>
    </w:p>
    <w:p>
      <w:pPr>
        <w:pageBreakBefore w:val="0"/>
        <w:kinsoku/>
        <w:wordWrap/>
        <w:overflowPunct/>
        <w:topLinePunct w:val="0"/>
        <w:bidi w:val="0"/>
        <w:snapToGrid/>
        <w:spacing w:line="600" w:lineRule="exact"/>
        <w:ind w:firstLine="561" w:firstLineChars="200"/>
        <w:textAlignment w:val="auto"/>
        <w:rPr>
          <w:rFonts w:ascii="Times New Roman" w:hAnsi="Times New Roman" w:eastAsia="华文中宋"/>
          <w:b/>
          <w:bCs/>
          <w:sz w:val="28"/>
          <w:szCs w:val="28"/>
        </w:rPr>
      </w:pPr>
      <w:r>
        <w:rPr>
          <w:rFonts w:hint="eastAsia" w:ascii="Times New Roman" w:hAnsi="Times New Roman" w:eastAsia="华文中宋"/>
          <w:b/>
          <w:bCs/>
          <w:sz w:val="28"/>
          <w:szCs w:val="28"/>
        </w:rPr>
        <w:t>（三）加强人才支撑</w:t>
      </w:r>
    </w:p>
    <w:p>
      <w:pPr>
        <w:pageBreakBefore w:val="0"/>
        <w:kinsoku/>
        <w:wordWrap/>
        <w:overflowPunct/>
        <w:topLinePunct w:val="0"/>
        <w:autoSpaceDE w:val="0"/>
        <w:autoSpaceDN w:val="0"/>
        <w:bidi w:val="0"/>
        <w:adjustRightInd w:val="0"/>
        <w:snapToGrid/>
        <w:spacing w:line="600" w:lineRule="exact"/>
        <w:ind w:firstLine="560" w:firstLineChars="200"/>
        <w:jc w:val="left"/>
        <w:textAlignment w:val="auto"/>
        <w:rPr>
          <w:rFonts w:cs="宋体" w:asciiTheme="minorEastAsia" w:hAnsiTheme="minorEastAsia" w:eastAsiaTheme="minorEastAsia"/>
          <w:kern w:val="0"/>
          <w:sz w:val="28"/>
          <w:szCs w:val="28"/>
        </w:rPr>
      </w:pPr>
      <w:r>
        <w:rPr>
          <w:rFonts w:hint="eastAsia" w:cs="宋体" w:asciiTheme="minorEastAsia" w:hAnsiTheme="minorEastAsia" w:eastAsiaTheme="minorEastAsia"/>
          <w:kern w:val="0"/>
          <w:sz w:val="28"/>
          <w:szCs w:val="28"/>
        </w:rPr>
        <w:t>支持政府、企业、院校合作建立人才支撑平台，成立专业化汽车运动产业研究智库。充分依托上海体育学院、安徽财经大学、南京体育学院、浙江黄龙体育中心等长三角体育产业人才培训基地，加快推进汽车运动产业人才协同创新机制。加强人才交流，</w:t>
      </w:r>
      <w:r>
        <w:rPr>
          <w:rFonts w:hint="eastAsia" w:cs="宋体" w:asciiTheme="minorEastAsia" w:hAnsiTheme="minorEastAsia" w:eastAsiaTheme="minorEastAsia"/>
          <w:kern w:val="0"/>
          <w:sz w:val="28"/>
          <w:szCs w:val="28"/>
          <w:lang w:eastAsia="zh-CN"/>
        </w:rPr>
        <w:t>探索校企联合培养新出路。</w:t>
      </w:r>
      <w:r>
        <w:rPr>
          <w:rFonts w:hint="eastAsia" w:cs="宋体" w:asciiTheme="minorEastAsia" w:hAnsiTheme="minorEastAsia" w:eastAsiaTheme="minorEastAsia"/>
          <w:kern w:val="0"/>
          <w:sz w:val="28"/>
          <w:szCs w:val="28"/>
        </w:rPr>
        <w:t>组建专业化人才信息库，建立人才合理化流动机制，完善人才培养、激励保障体系。实施汽车运动产业领军人才计划，重点打造符合市场需求的复合型高端人才。</w:t>
      </w:r>
    </w:p>
    <w:p>
      <w:pPr>
        <w:pageBreakBefore w:val="0"/>
        <w:kinsoku/>
        <w:wordWrap/>
        <w:overflowPunct/>
        <w:topLinePunct w:val="0"/>
        <w:bidi w:val="0"/>
        <w:snapToGrid/>
        <w:spacing w:line="600" w:lineRule="exact"/>
        <w:ind w:firstLine="561" w:firstLineChars="200"/>
        <w:textAlignment w:val="auto"/>
        <w:rPr>
          <w:rFonts w:ascii="Times New Roman" w:hAnsi="Times New Roman" w:eastAsia="华文中宋"/>
          <w:b/>
          <w:bCs/>
          <w:sz w:val="28"/>
          <w:szCs w:val="28"/>
        </w:rPr>
      </w:pPr>
      <w:r>
        <w:rPr>
          <w:rFonts w:hint="eastAsia" w:ascii="Times New Roman" w:hAnsi="Times New Roman" w:eastAsia="华文中宋"/>
          <w:b/>
          <w:bCs/>
          <w:sz w:val="28"/>
          <w:szCs w:val="28"/>
        </w:rPr>
        <w:t>（四）强化协调落实</w:t>
      </w:r>
    </w:p>
    <w:p>
      <w:pPr>
        <w:pageBreakBefore w:val="0"/>
        <w:kinsoku/>
        <w:wordWrap/>
        <w:overflowPunct/>
        <w:topLinePunct w:val="0"/>
        <w:autoSpaceDE w:val="0"/>
        <w:autoSpaceDN w:val="0"/>
        <w:bidi w:val="0"/>
        <w:adjustRightInd w:val="0"/>
        <w:snapToGrid/>
        <w:spacing w:line="600" w:lineRule="exact"/>
        <w:ind w:firstLine="560" w:firstLineChars="200"/>
        <w:jc w:val="left"/>
        <w:textAlignment w:val="auto"/>
        <w:rPr>
          <w:rFonts w:cs="宋体" w:asciiTheme="minorEastAsia" w:hAnsiTheme="minorEastAsia" w:eastAsiaTheme="minorEastAsia"/>
          <w:kern w:val="0"/>
          <w:sz w:val="28"/>
          <w:szCs w:val="28"/>
        </w:rPr>
      </w:pPr>
      <w:r>
        <w:rPr>
          <w:rFonts w:hint="eastAsia" w:cs="FZFSK--GBK1-0" w:asciiTheme="minorEastAsia" w:hAnsiTheme="minorEastAsia" w:eastAsiaTheme="minorEastAsia"/>
          <w:kern w:val="0"/>
          <w:sz w:val="28"/>
          <w:szCs w:val="28"/>
        </w:rPr>
        <w:t>充分发挥长三角</w:t>
      </w:r>
      <w:r>
        <w:rPr>
          <w:rFonts w:hint="eastAsia" w:cs="FZFSK--GBK1-0" w:asciiTheme="minorEastAsia" w:hAnsiTheme="minorEastAsia" w:eastAsiaTheme="minorEastAsia"/>
          <w:kern w:val="0"/>
          <w:sz w:val="28"/>
          <w:szCs w:val="28"/>
          <w:lang w:eastAsia="zh-CN"/>
        </w:rPr>
        <w:t>汽车</w:t>
      </w:r>
      <w:r>
        <w:rPr>
          <w:rFonts w:hint="eastAsia" w:cs="FZFSK--GBK1-0" w:asciiTheme="minorEastAsia" w:hAnsiTheme="minorEastAsia" w:eastAsiaTheme="minorEastAsia"/>
          <w:kern w:val="0"/>
          <w:sz w:val="28"/>
          <w:szCs w:val="28"/>
        </w:rPr>
        <w:t>自驾运动营地联盟的作用，</w:t>
      </w:r>
      <w:r>
        <w:rPr>
          <w:rFonts w:hint="eastAsia" w:cs="FZFSK--GBK1-0" w:asciiTheme="minorEastAsia" w:hAnsiTheme="minorEastAsia" w:eastAsiaTheme="minorEastAsia"/>
          <w:kern w:val="0"/>
          <w:sz w:val="28"/>
          <w:szCs w:val="28"/>
          <w:lang w:eastAsia="zh-CN"/>
        </w:rPr>
        <w:t>完善工作机制，落实工作责任。</w:t>
      </w:r>
      <w:r>
        <w:rPr>
          <w:rFonts w:hint="eastAsia" w:cs="宋体" w:asciiTheme="minorEastAsia" w:hAnsiTheme="minorEastAsia" w:eastAsiaTheme="minorEastAsia"/>
          <w:kern w:val="0"/>
          <w:sz w:val="28"/>
          <w:szCs w:val="28"/>
        </w:rPr>
        <w:t>充分</w:t>
      </w:r>
      <w:r>
        <w:rPr>
          <w:rFonts w:cs="宋体" w:asciiTheme="minorEastAsia" w:hAnsiTheme="minorEastAsia" w:eastAsiaTheme="minorEastAsia"/>
          <w:kern w:val="0"/>
          <w:sz w:val="28"/>
          <w:szCs w:val="28"/>
        </w:rPr>
        <w:t>认识加快发展汽车运动</w:t>
      </w:r>
      <w:r>
        <w:rPr>
          <w:rFonts w:hint="eastAsia" w:cs="宋体" w:asciiTheme="minorEastAsia" w:hAnsiTheme="minorEastAsia" w:eastAsiaTheme="minorEastAsia"/>
          <w:kern w:val="0"/>
          <w:sz w:val="28"/>
          <w:szCs w:val="28"/>
        </w:rPr>
        <w:t>产业</w:t>
      </w:r>
      <w:r>
        <w:rPr>
          <w:rFonts w:cs="宋体" w:asciiTheme="minorEastAsia" w:hAnsiTheme="minorEastAsia" w:eastAsiaTheme="minorEastAsia"/>
          <w:kern w:val="0"/>
          <w:sz w:val="28"/>
          <w:szCs w:val="28"/>
        </w:rPr>
        <w:t>的</w:t>
      </w:r>
      <w:r>
        <w:rPr>
          <w:rFonts w:hint="eastAsia" w:cs="宋体" w:asciiTheme="minorEastAsia" w:hAnsiTheme="minorEastAsia" w:eastAsiaTheme="minorEastAsia"/>
          <w:kern w:val="0"/>
          <w:sz w:val="28"/>
          <w:szCs w:val="28"/>
        </w:rPr>
        <w:t>重要</w:t>
      </w:r>
      <w:r>
        <w:rPr>
          <w:rFonts w:cs="宋体" w:asciiTheme="minorEastAsia" w:hAnsiTheme="minorEastAsia" w:eastAsiaTheme="minorEastAsia"/>
          <w:kern w:val="0"/>
          <w:sz w:val="28"/>
          <w:szCs w:val="28"/>
        </w:rPr>
        <w:t>意义，各地</w:t>
      </w:r>
      <w:r>
        <w:rPr>
          <w:rFonts w:hint="eastAsia" w:cs="宋体" w:asciiTheme="minorEastAsia" w:hAnsiTheme="minorEastAsia" w:eastAsiaTheme="minorEastAsia"/>
          <w:kern w:val="0"/>
          <w:sz w:val="28"/>
          <w:szCs w:val="28"/>
        </w:rPr>
        <w:t>要</w:t>
      </w:r>
      <w:r>
        <w:rPr>
          <w:rFonts w:cs="宋体" w:asciiTheme="minorEastAsia" w:hAnsiTheme="minorEastAsia" w:eastAsiaTheme="minorEastAsia"/>
          <w:kern w:val="0"/>
          <w:sz w:val="28"/>
          <w:szCs w:val="28"/>
        </w:rPr>
        <w:t>结合实际情况，</w:t>
      </w:r>
      <w:r>
        <w:rPr>
          <w:rFonts w:hint="eastAsia" w:cs="宋体" w:asciiTheme="minorEastAsia" w:hAnsiTheme="minorEastAsia" w:eastAsiaTheme="minorEastAsia"/>
          <w:kern w:val="0"/>
          <w:sz w:val="28"/>
          <w:szCs w:val="28"/>
        </w:rPr>
        <w:t>将促进汽车运动产业发展纳入当地体育产业发展总体规划，制定各项政策</w:t>
      </w:r>
      <w:r>
        <w:rPr>
          <w:rFonts w:cs="宋体" w:asciiTheme="minorEastAsia" w:hAnsiTheme="minorEastAsia" w:eastAsiaTheme="minorEastAsia"/>
          <w:kern w:val="0"/>
          <w:sz w:val="28"/>
          <w:szCs w:val="28"/>
        </w:rPr>
        <w:t>措施，</w:t>
      </w:r>
      <w:r>
        <w:rPr>
          <w:rFonts w:hint="eastAsia" w:cs="宋体" w:asciiTheme="minorEastAsia" w:hAnsiTheme="minorEastAsia" w:eastAsiaTheme="minorEastAsia"/>
          <w:kern w:val="0"/>
          <w:sz w:val="28"/>
          <w:szCs w:val="28"/>
        </w:rPr>
        <w:t>细化</w:t>
      </w:r>
      <w:r>
        <w:rPr>
          <w:rFonts w:cs="宋体" w:asciiTheme="minorEastAsia" w:hAnsiTheme="minorEastAsia" w:eastAsiaTheme="minorEastAsia"/>
          <w:kern w:val="0"/>
          <w:sz w:val="28"/>
          <w:szCs w:val="28"/>
        </w:rPr>
        <w:t>分解各项任务，采取切实有效</w:t>
      </w:r>
      <w:r>
        <w:rPr>
          <w:rFonts w:hint="eastAsia" w:cs="宋体" w:asciiTheme="minorEastAsia" w:hAnsiTheme="minorEastAsia" w:eastAsiaTheme="minorEastAsia"/>
          <w:kern w:val="0"/>
          <w:sz w:val="28"/>
          <w:szCs w:val="28"/>
        </w:rPr>
        <w:t>手段推动汽车运动产业发展</w:t>
      </w:r>
      <w:r>
        <w:rPr>
          <w:rFonts w:cs="宋体" w:asciiTheme="minorEastAsia" w:hAnsiTheme="minorEastAsia" w:eastAsiaTheme="minorEastAsia"/>
          <w:kern w:val="0"/>
          <w:sz w:val="28"/>
          <w:szCs w:val="28"/>
        </w:rPr>
        <w:t>。</w:t>
      </w:r>
      <w:r>
        <w:rPr>
          <w:rFonts w:hint="eastAsia" w:cs="方正仿宋_GBK" w:asciiTheme="minorEastAsia" w:hAnsiTheme="minorEastAsia" w:eastAsiaTheme="minorEastAsia"/>
          <w:sz w:val="28"/>
          <w:szCs w:val="28"/>
        </w:rPr>
        <w:t>领导小组和协作推进机构</w:t>
      </w:r>
      <w:r>
        <w:rPr>
          <w:rFonts w:hint="eastAsia" w:cs="宋体" w:asciiTheme="minorEastAsia" w:hAnsiTheme="minorEastAsia" w:eastAsiaTheme="minorEastAsia"/>
          <w:kern w:val="0"/>
          <w:sz w:val="28"/>
          <w:szCs w:val="28"/>
        </w:rPr>
        <w:t>将</w:t>
      </w:r>
      <w:r>
        <w:rPr>
          <w:rFonts w:cs="宋体" w:asciiTheme="minorEastAsia" w:hAnsiTheme="minorEastAsia" w:eastAsiaTheme="minorEastAsia"/>
          <w:kern w:val="0"/>
          <w:sz w:val="28"/>
          <w:szCs w:val="28"/>
        </w:rPr>
        <w:t>定期联合</w:t>
      </w:r>
      <w:r>
        <w:rPr>
          <w:rFonts w:hint="eastAsia" w:cs="宋体" w:asciiTheme="minorEastAsia" w:hAnsiTheme="minorEastAsia" w:eastAsiaTheme="minorEastAsia"/>
          <w:kern w:val="0"/>
          <w:sz w:val="28"/>
          <w:szCs w:val="28"/>
        </w:rPr>
        <w:t>各</w:t>
      </w:r>
      <w:r>
        <w:rPr>
          <w:rFonts w:cs="宋体" w:asciiTheme="minorEastAsia" w:hAnsiTheme="minorEastAsia" w:eastAsiaTheme="minorEastAsia"/>
          <w:kern w:val="0"/>
          <w:sz w:val="28"/>
          <w:szCs w:val="28"/>
        </w:rPr>
        <w:t>相关部门开展汽车运动</w:t>
      </w:r>
      <w:r>
        <w:rPr>
          <w:rFonts w:hint="eastAsia" w:cs="宋体" w:asciiTheme="minorEastAsia" w:hAnsiTheme="minorEastAsia" w:eastAsiaTheme="minorEastAsia"/>
          <w:kern w:val="0"/>
          <w:sz w:val="28"/>
          <w:szCs w:val="28"/>
        </w:rPr>
        <w:t>产业的</w:t>
      </w:r>
      <w:r>
        <w:rPr>
          <w:rFonts w:hint="eastAsia" w:cs="宋体" w:asciiTheme="minorEastAsia" w:hAnsiTheme="minorEastAsia" w:eastAsiaTheme="minorEastAsia"/>
          <w:kern w:val="0"/>
          <w:sz w:val="28"/>
          <w:szCs w:val="28"/>
          <w:lang w:eastAsia="zh-CN"/>
        </w:rPr>
        <w:t>协调</w:t>
      </w:r>
      <w:r>
        <w:rPr>
          <w:rFonts w:cs="宋体" w:asciiTheme="minorEastAsia" w:hAnsiTheme="minorEastAsia" w:eastAsiaTheme="minorEastAsia"/>
          <w:kern w:val="0"/>
          <w:sz w:val="28"/>
          <w:szCs w:val="28"/>
        </w:rPr>
        <w:t>工作。</w:t>
      </w:r>
    </w:p>
    <w:sectPr>
      <w:footerReference r:id="rId3" w:type="default"/>
      <w:pgSz w:w="11906" w:h="16838"/>
      <w:pgMar w:top="1418" w:right="1701" w:bottom="1418" w:left="170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D37293EB-F308-4CA7-A6D2-4D72611EA8F2}"/>
  </w:font>
  <w:font w:name="黑体">
    <w:panose1 w:val="02010609060101010101"/>
    <w:charset w:val="86"/>
    <w:family w:val="auto"/>
    <w:pitch w:val="default"/>
    <w:sig w:usb0="800002BF" w:usb1="38CF7CFA" w:usb2="00000016" w:usb3="00000000" w:csb0="00040001" w:csb1="00000000"/>
    <w:embedRegular r:id="rId2" w:fontKey="{5A76AC45-1108-4D50-979F-436FE22E1032}"/>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3" w:fontKey="{5BDBFCDA-C8CC-4117-9BE2-9C354C90B327}"/>
  </w:font>
  <w:font w:name="Calibri Light">
    <w:panose1 w:val="020F0302020204030204"/>
    <w:charset w:val="00"/>
    <w:family w:val="swiss"/>
    <w:pitch w:val="default"/>
    <w:sig w:usb0="A00002EF" w:usb1="4000207B" w:usb2="00000000" w:usb3="00000000" w:csb0="2000019F" w:csb1="00000000"/>
  </w:font>
  <w:font w:name="FZFSK--GBK1-0">
    <w:altName w:val="宋体"/>
    <w:panose1 w:val="00000000000000000000"/>
    <w:charset w:val="86"/>
    <w:family w:val="auto"/>
    <w:pitch w:val="default"/>
    <w:sig w:usb0="00000000" w:usb1="00000000" w:usb2="00000010" w:usb3="00000000" w:csb0="00040000" w:csb1="00000000"/>
    <w:embedRegular r:id="rId4" w:fontKey="{A079B2FE-1572-4E86-A677-49AF8D10B2F8}"/>
  </w:font>
  <w:font w:name="仿宋">
    <w:panose1 w:val="02010609060101010101"/>
    <w:charset w:val="86"/>
    <w:family w:val="modern"/>
    <w:pitch w:val="default"/>
    <w:sig w:usb0="800002BF" w:usb1="38CF7CFA" w:usb2="00000016" w:usb3="00000000" w:csb0="00040001" w:csb1="00000000"/>
    <w:embedRegular r:id="rId5" w:fontKey="{4008F376-778D-469A-AF6A-DCCE0931D2B2}"/>
  </w:font>
  <w:font w:name="华文中宋">
    <w:panose1 w:val="02010600040101010101"/>
    <w:charset w:val="86"/>
    <w:family w:val="auto"/>
    <w:pitch w:val="default"/>
    <w:sig w:usb0="00000287" w:usb1="080F0000" w:usb2="00000000" w:usb3="00000000" w:csb0="0004009F" w:csb1="DFD70000"/>
    <w:embedRegular r:id="rId6" w:fontKey="{54665526-76F8-48B0-A7FB-CBAF3FC9AAE8}"/>
  </w:font>
  <w:font w:name="方正仿宋_GBK">
    <w:panose1 w:val="03000509000000000000"/>
    <w:charset w:val="86"/>
    <w:family w:val="auto"/>
    <w:pitch w:val="default"/>
    <w:sig w:usb0="00000001" w:usb1="080E0000" w:usb2="00000000" w:usb3="00000000" w:csb0="00040000" w:csb1="00000000"/>
    <w:embedRegular r:id="rId7" w:fontKey="{8AB1295D-685A-49ED-AB3B-352F27381628}"/>
  </w:font>
  <w:font w:name="仿宋_GB2312">
    <w:altName w:val="仿宋"/>
    <w:panose1 w:val="00000000000000000000"/>
    <w:charset w:val="86"/>
    <w:family w:val="modern"/>
    <w:pitch w:val="default"/>
    <w:sig w:usb0="00000000" w:usb1="00000000" w:usb2="00000010" w:usb3="00000000" w:csb0="00040000" w:csb1="00000000"/>
    <w:embedRegular r:id="rId8" w:fontKey="{49968991-089F-4A36-B600-C7457ED864B6}"/>
  </w:font>
  <w:font w:name="方正仿宋_GB2312">
    <w:panose1 w:val="02000000000000000000"/>
    <w:charset w:val="86"/>
    <w:family w:val="auto"/>
    <w:pitch w:val="default"/>
    <w:sig w:usb0="00000000" w:usb1="00000000" w:usb2="00000000" w:usb3="00000000" w:csb0="00000000" w:csb1="00000000"/>
    <w:embedRegular r:id="rId9" w:fontKey="{50456EE4-331B-4DC9-99EB-8741D0D6C518}"/>
  </w:font>
  <w:font w:name="Cambria">
    <w:panose1 w:val="02040503050406030204"/>
    <w:charset w:val="00"/>
    <w:family w:val="roman"/>
    <w:pitch w:val="default"/>
    <w:sig w:usb0="E00002FF" w:usb1="400004FF" w:usb2="00000000" w:usb3="00000000" w:csb0="2000019F" w:csb1="00000000"/>
    <w:embedRegular r:id="rId10" w:fontKey="{ACF193BB-0549-4D13-810B-7A7EEFFCE333}"/>
  </w:font>
  <w:font w:name="华文仿宋">
    <w:panose1 w:val="02010600040101010101"/>
    <w:charset w:val="86"/>
    <w:family w:val="auto"/>
    <w:pitch w:val="default"/>
    <w:sig w:usb0="00000287" w:usb1="080F0000" w:usb2="00000000" w:usb3="00000000" w:csb0="0004009F" w:csb1="DFD70000"/>
    <w:embedRegular r:id="rId11" w:fontKey="{F9F38166-6867-482C-87E6-E80D0B4C3E20}"/>
  </w:font>
  <w:font w:name="楷体">
    <w:panose1 w:val="02010609060101010101"/>
    <w:charset w:val="86"/>
    <w:family w:val="modern"/>
    <w:pitch w:val="default"/>
    <w:sig w:usb0="800002BF" w:usb1="38CF7CFA" w:usb2="00000016" w:usb3="00000000" w:csb0="00040001" w:csb1="00000000"/>
    <w:embedRegular r:id="rId12" w:fontKey="{7F3ABA27-005F-422B-99AE-ABA581D6CB97}"/>
  </w:font>
  <w:font w:name="楷体_GB2312">
    <w:altName w:val="楷体"/>
    <w:panose1 w:val="00000000000000000000"/>
    <w:charset w:val="86"/>
    <w:family w:val="modern"/>
    <w:pitch w:val="default"/>
    <w:sig w:usb0="00000000" w:usb1="00000000" w:usb2="00000010" w:usb3="00000000" w:csb0="00040000" w:csb1="00000000"/>
    <w:embedRegular r:id="rId13" w:fontKey="{9F183626-1D3F-49FA-8138-66CFBD51E7EA}"/>
  </w:font>
  <w:font w:name="KTJ+ZCKJpU-1">
    <w:altName w:val="宋体"/>
    <w:panose1 w:val="00000000000000000000"/>
    <w:charset w:val="86"/>
    <w:family w:val="auto"/>
    <w:pitch w:val="default"/>
    <w:sig w:usb0="00000000" w:usb1="00000000" w:usb2="00000010" w:usb3="00000000" w:csb0="00040000" w:csb1="00000000"/>
    <w:embedRegular r:id="rId14" w:fontKey="{3F6BC4D9-CCDB-4145-B500-96E563B7912A}"/>
  </w:font>
  <w:font w:name="AdobeHeitiStd-Regular">
    <w:altName w:val="宋体"/>
    <w:panose1 w:val="00000000000000000000"/>
    <w:charset w:val="86"/>
    <w:family w:val="auto"/>
    <w:pitch w:val="default"/>
    <w:sig w:usb0="00000000" w:usb1="00000000" w:usb2="00000010" w:usb3="00000000" w:csb0="00040000" w:csb1="00000000"/>
    <w:embedRegular r:id="rId15" w:fontKey="{2734842F-F368-4653-B645-CDFCD6DB2703}"/>
  </w:font>
  <w:font w:name="KTJ0+ZDGJV7-2">
    <w:altName w:val="宋体"/>
    <w:panose1 w:val="00000000000000000000"/>
    <w:charset w:val="86"/>
    <w:family w:val="auto"/>
    <w:pitch w:val="default"/>
    <w:sig w:usb0="00000000" w:usb1="00000000" w:usb2="00000010" w:usb3="00000000" w:csb0="00040000" w:csb1="00000000"/>
    <w:embedRegular r:id="rId16" w:fontKey="{1A13363D-BBF8-45DA-A04C-312878BF0EDA}"/>
  </w:font>
  <w:font w:name="KTJ+ZCKJpX-18">
    <w:altName w:val="宋体"/>
    <w:panose1 w:val="00000000000000000000"/>
    <w:charset w:val="86"/>
    <w:family w:val="auto"/>
    <w:pitch w:val="default"/>
    <w:sig w:usb0="00000000" w:usb1="00000000" w:usb2="00000010" w:usb3="00000000" w:csb0="00040000" w:csb1="00000000"/>
    <w:embedRegular r:id="rId17" w:fontKey="{1632CB13-13AA-4F59-AC83-E1519C9B6A0C}"/>
  </w:font>
  <w:font w:name="KTJ+ZCKJpU-7">
    <w:altName w:val="宋体"/>
    <w:panose1 w:val="00000000000000000000"/>
    <w:charset w:val="86"/>
    <w:family w:val="auto"/>
    <w:pitch w:val="default"/>
    <w:sig w:usb0="00000000" w:usb1="00000000" w:usb2="00000010" w:usb3="00000000" w:csb0="00040000" w:csb1="00000000"/>
    <w:embedRegular r:id="rId18" w:fontKey="{733B8CFB-67E8-4084-B709-11475F888FFF}"/>
  </w:font>
  <w:font w:name="KTJ+ZCKJpU-5">
    <w:altName w:val="宋体"/>
    <w:panose1 w:val="00000000000000000000"/>
    <w:charset w:val="86"/>
    <w:family w:val="auto"/>
    <w:pitch w:val="default"/>
    <w:sig w:usb0="00000000" w:usb1="00000000" w:usb2="00000010" w:usb3="00000000" w:csb0="00040000" w:csb1="00000000"/>
    <w:embedRegular r:id="rId19" w:fontKey="{6A5773D9-4137-438D-9640-D09B5D2FB77B}"/>
  </w:font>
  <w:font w:name="KTJ+ZCKJpU-4">
    <w:altName w:val="宋体"/>
    <w:panose1 w:val="00000000000000000000"/>
    <w:charset w:val="86"/>
    <w:family w:val="auto"/>
    <w:pitch w:val="default"/>
    <w:sig w:usb0="00000000" w:usb1="00000000" w:usb2="00000010" w:usb3="00000000" w:csb0="00040000" w:csb1="00000000"/>
    <w:embedRegular r:id="rId20" w:fontKey="{AB88AA39-E282-4389-A5EC-3680BBADD324}"/>
  </w:font>
  <w:font w:name="KTJ+ZCKJpV-11">
    <w:altName w:val="宋体"/>
    <w:panose1 w:val="00000000000000000000"/>
    <w:charset w:val="86"/>
    <w:family w:val="auto"/>
    <w:pitch w:val="default"/>
    <w:sig w:usb0="00000000" w:usb1="00000000" w:usb2="00000010" w:usb3="00000000" w:csb0="00040000" w:csb1="00000000"/>
    <w:embedRegular r:id="rId21" w:fontKey="{7098D282-0A47-45F4-9E4E-4CCCC35AEF54}"/>
  </w:font>
  <w:font w:name="KTJ+ZCKJpb-33">
    <w:altName w:val="宋体"/>
    <w:panose1 w:val="00000000000000000000"/>
    <w:charset w:val="86"/>
    <w:family w:val="auto"/>
    <w:pitch w:val="default"/>
    <w:sig w:usb0="00000000" w:usb1="00000000" w:usb2="00000010" w:usb3="00000000" w:csb0="00040000" w:csb1="00000000"/>
    <w:embedRegular r:id="rId22" w:fontKey="{31A578B4-24BE-41D7-A6BA-6CB95719A3E9}"/>
  </w:font>
  <w:font w:name="KTJ+ZCKJpX-20">
    <w:altName w:val="宋体"/>
    <w:panose1 w:val="00000000000000000000"/>
    <w:charset w:val="86"/>
    <w:family w:val="auto"/>
    <w:pitch w:val="default"/>
    <w:sig w:usb0="00000000" w:usb1="00000000" w:usb2="00000010" w:usb3="00000000" w:csb0="00040000" w:csb1="00000000"/>
    <w:embedRegular r:id="rId23" w:fontKey="{D6B292FD-4FCF-4360-846E-8B26F9DF3EB7}"/>
  </w:font>
  <w:font w:name="KTJ+ZCKJpU-6">
    <w:altName w:val="宋体"/>
    <w:panose1 w:val="00000000000000000000"/>
    <w:charset w:val="86"/>
    <w:family w:val="auto"/>
    <w:pitch w:val="default"/>
    <w:sig w:usb0="00000000" w:usb1="00000000" w:usb2="00000010" w:usb3="00000000" w:csb0="00040000" w:csb1="00000000"/>
    <w:embedRegular r:id="rId24" w:fontKey="{54870FCB-8B89-4F18-85B1-3BC5E77322E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7"/>
                          </w:pP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JWiW6wVAgAAFQQAAA4AAAAAAAAA&#10;AQAgAAAAHwEAAGRycy9lMm9Eb2MueG1sUEsFBgAAAAAGAAYAWQEAAKYFAAAAAA==&#10;">
              <v:fill on="f" focussize="0,0"/>
              <v:stroke on="f" weight="0.5pt"/>
              <v:imagedata o:title=""/>
              <o:lock v:ext="edit" aspectratio="f"/>
              <v:textbox inset="0mm,0mm,0mm,0mm" style="mso-fit-shape-to-text:t;">
                <w:txbxContent>
                  <w:p>
                    <w:pPr>
                      <w:pStyle w:val="7"/>
                    </w:pP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C11FED9"/>
    <w:multiLevelType w:val="singleLevel"/>
    <w:tmpl w:val="CC11FED9"/>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aveSubset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3E89"/>
    <w:rsid w:val="00002E92"/>
    <w:rsid w:val="00006253"/>
    <w:rsid w:val="00011F41"/>
    <w:rsid w:val="000164CA"/>
    <w:rsid w:val="00017479"/>
    <w:rsid w:val="00023558"/>
    <w:rsid w:val="0002456B"/>
    <w:rsid w:val="0002479D"/>
    <w:rsid w:val="00026F2D"/>
    <w:rsid w:val="00031200"/>
    <w:rsid w:val="00031E74"/>
    <w:rsid w:val="00040C60"/>
    <w:rsid w:val="00041AA2"/>
    <w:rsid w:val="00046D49"/>
    <w:rsid w:val="00050C85"/>
    <w:rsid w:val="000566C7"/>
    <w:rsid w:val="00056E81"/>
    <w:rsid w:val="00061952"/>
    <w:rsid w:val="00067748"/>
    <w:rsid w:val="00071741"/>
    <w:rsid w:val="00073F46"/>
    <w:rsid w:val="0007697E"/>
    <w:rsid w:val="00083C87"/>
    <w:rsid w:val="0008605C"/>
    <w:rsid w:val="00097883"/>
    <w:rsid w:val="000A7F40"/>
    <w:rsid w:val="000B4051"/>
    <w:rsid w:val="000B6B61"/>
    <w:rsid w:val="000B6CC7"/>
    <w:rsid w:val="000C32FA"/>
    <w:rsid w:val="000C376C"/>
    <w:rsid w:val="000C69FD"/>
    <w:rsid w:val="000D428E"/>
    <w:rsid w:val="000D66C9"/>
    <w:rsid w:val="000E0B51"/>
    <w:rsid w:val="000E57E8"/>
    <w:rsid w:val="000F14FB"/>
    <w:rsid w:val="000F44C3"/>
    <w:rsid w:val="00111A1D"/>
    <w:rsid w:val="001132BA"/>
    <w:rsid w:val="00113A92"/>
    <w:rsid w:val="0011634D"/>
    <w:rsid w:val="001179D4"/>
    <w:rsid w:val="001348DB"/>
    <w:rsid w:val="0013493B"/>
    <w:rsid w:val="001536AA"/>
    <w:rsid w:val="00154939"/>
    <w:rsid w:val="00157204"/>
    <w:rsid w:val="00157349"/>
    <w:rsid w:val="001617DF"/>
    <w:rsid w:val="00162104"/>
    <w:rsid w:val="0017008B"/>
    <w:rsid w:val="001701F3"/>
    <w:rsid w:val="001702B6"/>
    <w:rsid w:val="001705A5"/>
    <w:rsid w:val="00174395"/>
    <w:rsid w:val="00180EBF"/>
    <w:rsid w:val="001855B0"/>
    <w:rsid w:val="00186F1B"/>
    <w:rsid w:val="001872AD"/>
    <w:rsid w:val="001905AB"/>
    <w:rsid w:val="0019797E"/>
    <w:rsid w:val="001A0F3E"/>
    <w:rsid w:val="001B2A7E"/>
    <w:rsid w:val="001B4DB7"/>
    <w:rsid w:val="001B57CA"/>
    <w:rsid w:val="001B67A0"/>
    <w:rsid w:val="001C2184"/>
    <w:rsid w:val="001D49AD"/>
    <w:rsid w:val="001D62ED"/>
    <w:rsid w:val="001F26EF"/>
    <w:rsid w:val="00200320"/>
    <w:rsid w:val="00200FC2"/>
    <w:rsid w:val="002048BC"/>
    <w:rsid w:val="00207CF1"/>
    <w:rsid w:val="00211845"/>
    <w:rsid w:val="00214D86"/>
    <w:rsid w:val="002207F3"/>
    <w:rsid w:val="00221895"/>
    <w:rsid w:val="0022580D"/>
    <w:rsid w:val="00226EEF"/>
    <w:rsid w:val="00230166"/>
    <w:rsid w:val="00233C51"/>
    <w:rsid w:val="00234FB2"/>
    <w:rsid w:val="002451E4"/>
    <w:rsid w:val="0024721E"/>
    <w:rsid w:val="0027200B"/>
    <w:rsid w:val="00274142"/>
    <w:rsid w:val="00275ED1"/>
    <w:rsid w:val="00277774"/>
    <w:rsid w:val="002812F5"/>
    <w:rsid w:val="002846CD"/>
    <w:rsid w:val="002879C8"/>
    <w:rsid w:val="0029778B"/>
    <w:rsid w:val="002A10C4"/>
    <w:rsid w:val="002A398B"/>
    <w:rsid w:val="002A67A9"/>
    <w:rsid w:val="002A6F68"/>
    <w:rsid w:val="002A7219"/>
    <w:rsid w:val="002B0173"/>
    <w:rsid w:val="002B61AE"/>
    <w:rsid w:val="002B6487"/>
    <w:rsid w:val="002B71FA"/>
    <w:rsid w:val="002C3046"/>
    <w:rsid w:val="002C4B16"/>
    <w:rsid w:val="002C4D49"/>
    <w:rsid w:val="002C4EFD"/>
    <w:rsid w:val="002D1C34"/>
    <w:rsid w:val="002D3FD4"/>
    <w:rsid w:val="002E096C"/>
    <w:rsid w:val="002E17B8"/>
    <w:rsid w:val="00300503"/>
    <w:rsid w:val="003025B0"/>
    <w:rsid w:val="003031F1"/>
    <w:rsid w:val="00303CE0"/>
    <w:rsid w:val="00307457"/>
    <w:rsid w:val="00320166"/>
    <w:rsid w:val="00326152"/>
    <w:rsid w:val="00330C6C"/>
    <w:rsid w:val="00331624"/>
    <w:rsid w:val="00333124"/>
    <w:rsid w:val="003348EB"/>
    <w:rsid w:val="0033679C"/>
    <w:rsid w:val="00351D27"/>
    <w:rsid w:val="00352D50"/>
    <w:rsid w:val="00352F41"/>
    <w:rsid w:val="00365EF4"/>
    <w:rsid w:val="00367FFB"/>
    <w:rsid w:val="003706E3"/>
    <w:rsid w:val="00373318"/>
    <w:rsid w:val="00374EAA"/>
    <w:rsid w:val="003756BF"/>
    <w:rsid w:val="003819AB"/>
    <w:rsid w:val="00387C1F"/>
    <w:rsid w:val="00395DAA"/>
    <w:rsid w:val="003A4D78"/>
    <w:rsid w:val="003A745F"/>
    <w:rsid w:val="003B12DE"/>
    <w:rsid w:val="003B1DCB"/>
    <w:rsid w:val="003B3F4D"/>
    <w:rsid w:val="003C3CDF"/>
    <w:rsid w:val="003C458B"/>
    <w:rsid w:val="003D05D7"/>
    <w:rsid w:val="003D17B5"/>
    <w:rsid w:val="003D5961"/>
    <w:rsid w:val="003E0542"/>
    <w:rsid w:val="003E544E"/>
    <w:rsid w:val="003E5BF0"/>
    <w:rsid w:val="003F136B"/>
    <w:rsid w:val="003F26E0"/>
    <w:rsid w:val="003F78BB"/>
    <w:rsid w:val="003F7C33"/>
    <w:rsid w:val="00401D78"/>
    <w:rsid w:val="0040332C"/>
    <w:rsid w:val="00406BC0"/>
    <w:rsid w:val="00410F12"/>
    <w:rsid w:val="0041155C"/>
    <w:rsid w:val="00427D79"/>
    <w:rsid w:val="00430CC1"/>
    <w:rsid w:val="00446B94"/>
    <w:rsid w:val="00450477"/>
    <w:rsid w:val="00451558"/>
    <w:rsid w:val="00454492"/>
    <w:rsid w:val="00454DCA"/>
    <w:rsid w:val="00463377"/>
    <w:rsid w:val="004633E1"/>
    <w:rsid w:val="00477CF3"/>
    <w:rsid w:val="00486AD6"/>
    <w:rsid w:val="00496036"/>
    <w:rsid w:val="004A1578"/>
    <w:rsid w:val="004A576B"/>
    <w:rsid w:val="004B110F"/>
    <w:rsid w:val="004B199C"/>
    <w:rsid w:val="004B40E3"/>
    <w:rsid w:val="004B542E"/>
    <w:rsid w:val="004B72F7"/>
    <w:rsid w:val="004C6EA4"/>
    <w:rsid w:val="004D2EAC"/>
    <w:rsid w:val="004D643A"/>
    <w:rsid w:val="004E4E1F"/>
    <w:rsid w:val="004F0004"/>
    <w:rsid w:val="004F2A21"/>
    <w:rsid w:val="004F2BA0"/>
    <w:rsid w:val="004F420A"/>
    <w:rsid w:val="00503604"/>
    <w:rsid w:val="00504269"/>
    <w:rsid w:val="00514958"/>
    <w:rsid w:val="00514CBB"/>
    <w:rsid w:val="00517321"/>
    <w:rsid w:val="005179EB"/>
    <w:rsid w:val="0052221A"/>
    <w:rsid w:val="0052443C"/>
    <w:rsid w:val="00526FFB"/>
    <w:rsid w:val="0053204D"/>
    <w:rsid w:val="005358E2"/>
    <w:rsid w:val="00537CAE"/>
    <w:rsid w:val="00537DC0"/>
    <w:rsid w:val="00541CDB"/>
    <w:rsid w:val="00547329"/>
    <w:rsid w:val="00550C6E"/>
    <w:rsid w:val="0055562D"/>
    <w:rsid w:val="00565590"/>
    <w:rsid w:val="00570E84"/>
    <w:rsid w:val="00572027"/>
    <w:rsid w:val="00574FF5"/>
    <w:rsid w:val="00575BE4"/>
    <w:rsid w:val="00586F3C"/>
    <w:rsid w:val="00593FC6"/>
    <w:rsid w:val="00596389"/>
    <w:rsid w:val="00597674"/>
    <w:rsid w:val="00597C4F"/>
    <w:rsid w:val="005A439A"/>
    <w:rsid w:val="005A4F4B"/>
    <w:rsid w:val="005B0BF1"/>
    <w:rsid w:val="005B2AFE"/>
    <w:rsid w:val="005D158F"/>
    <w:rsid w:val="005D7083"/>
    <w:rsid w:val="005E0A3F"/>
    <w:rsid w:val="005E2E8C"/>
    <w:rsid w:val="005E5ACD"/>
    <w:rsid w:val="00602B95"/>
    <w:rsid w:val="00606CC6"/>
    <w:rsid w:val="00607EBF"/>
    <w:rsid w:val="006148D9"/>
    <w:rsid w:val="0061713E"/>
    <w:rsid w:val="00623E39"/>
    <w:rsid w:val="00624753"/>
    <w:rsid w:val="00624EEC"/>
    <w:rsid w:val="00634F2D"/>
    <w:rsid w:val="00635040"/>
    <w:rsid w:val="0065712F"/>
    <w:rsid w:val="00661D04"/>
    <w:rsid w:val="00663808"/>
    <w:rsid w:val="00675684"/>
    <w:rsid w:val="00680B36"/>
    <w:rsid w:val="006920D5"/>
    <w:rsid w:val="006A4038"/>
    <w:rsid w:val="006B1128"/>
    <w:rsid w:val="006B1B9D"/>
    <w:rsid w:val="006B46CA"/>
    <w:rsid w:val="006C1575"/>
    <w:rsid w:val="006D03FD"/>
    <w:rsid w:val="006D0D05"/>
    <w:rsid w:val="006E7987"/>
    <w:rsid w:val="006F5757"/>
    <w:rsid w:val="006F7CB2"/>
    <w:rsid w:val="007072E8"/>
    <w:rsid w:val="00721CE3"/>
    <w:rsid w:val="00722B61"/>
    <w:rsid w:val="0072675D"/>
    <w:rsid w:val="00731FDE"/>
    <w:rsid w:val="00733F06"/>
    <w:rsid w:val="0073783D"/>
    <w:rsid w:val="00740F64"/>
    <w:rsid w:val="0074222B"/>
    <w:rsid w:val="0074493D"/>
    <w:rsid w:val="00751A52"/>
    <w:rsid w:val="0075273B"/>
    <w:rsid w:val="007652D2"/>
    <w:rsid w:val="00771F39"/>
    <w:rsid w:val="00772FB1"/>
    <w:rsid w:val="00773A2E"/>
    <w:rsid w:val="00781347"/>
    <w:rsid w:val="00781C34"/>
    <w:rsid w:val="0078553A"/>
    <w:rsid w:val="007867A5"/>
    <w:rsid w:val="00793512"/>
    <w:rsid w:val="007C5533"/>
    <w:rsid w:val="007D2B57"/>
    <w:rsid w:val="007D475E"/>
    <w:rsid w:val="007E0601"/>
    <w:rsid w:val="007E4C62"/>
    <w:rsid w:val="007F72AF"/>
    <w:rsid w:val="00805989"/>
    <w:rsid w:val="00807BB2"/>
    <w:rsid w:val="00810260"/>
    <w:rsid w:val="00813BAC"/>
    <w:rsid w:val="00814AAE"/>
    <w:rsid w:val="00814F21"/>
    <w:rsid w:val="00816110"/>
    <w:rsid w:val="0081637F"/>
    <w:rsid w:val="0081682F"/>
    <w:rsid w:val="008170EF"/>
    <w:rsid w:val="00820646"/>
    <w:rsid w:val="00822058"/>
    <w:rsid w:val="008242C8"/>
    <w:rsid w:val="00824833"/>
    <w:rsid w:val="00844756"/>
    <w:rsid w:val="00847012"/>
    <w:rsid w:val="00851571"/>
    <w:rsid w:val="00851AB2"/>
    <w:rsid w:val="00854BFB"/>
    <w:rsid w:val="00872350"/>
    <w:rsid w:val="00873459"/>
    <w:rsid w:val="00874FCB"/>
    <w:rsid w:val="008750A7"/>
    <w:rsid w:val="00875F08"/>
    <w:rsid w:val="008809A6"/>
    <w:rsid w:val="00881685"/>
    <w:rsid w:val="00885053"/>
    <w:rsid w:val="0088614E"/>
    <w:rsid w:val="00886322"/>
    <w:rsid w:val="00894D59"/>
    <w:rsid w:val="00897063"/>
    <w:rsid w:val="008A0B0F"/>
    <w:rsid w:val="008A45DF"/>
    <w:rsid w:val="008C2579"/>
    <w:rsid w:val="008C6580"/>
    <w:rsid w:val="008D73E3"/>
    <w:rsid w:val="008E165A"/>
    <w:rsid w:val="008E16CD"/>
    <w:rsid w:val="008E5BCE"/>
    <w:rsid w:val="008E79F3"/>
    <w:rsid w:val="008F18FF"/>
    <w:rsid w:val="008F36EB"/>
    <w:rsid w:val="008F4542"/>
    <w:rsid w:val="00910B70"/>
    <w:rsid w:val="009131B2"/>
    <w:rsid w:val="0092065F"/>
    <w:rsid w:val="009207B3"/>
    <w:rsid w:val="00921280"/>
    <w:rsid w:val="009256D0"/>
    <w:rsid w:val="009278AA"/>
    <w:rsid w:val="00932432"/>
    <w:rsid w:val="009329BC"/>
    <w:rsid w:val="00936631"/>
    <w:rsid w:val="0093759E"/>
    <w:rsid w:val="00952A45"/>
    <w:rsid w:val="00952FBF"/>
    <w:rsid w:val="009546F1"/>
    <w:rsid w:val="0095748D"/>
    <w:rsid w:val="00982592"/>
    <w:rsid w:val="0098512B"/>
    <w:rsid w:val="009944F1"/>
    <w:rsid w:val="00994A8F"/>
    <w:rsid w:val="00996684"/>
    <w:rsid w:val="00996801"/>
    <w:rsid w:val="009A0DB2"/>
    <w:rsid w:val="009A4760"/>
    <w:rsid w:val="009A5841"/>
    <w:rsid w:val="009A669A"/>
    <w:rsid w:val="009B2EB3"/>
    <w:rsid w:val="009B38EC"/>
    <w:rsid w:val="009B3E17"/>
    <w:rsid w:val="009B4B60"/>
    <w:rsid w:val="009C0A13"/>
    <w:rsid w:val="009C0B6F"/>
    <w:rsid w:val="009D34D5"/>
    <w:rsid w:val="009D3B76"/>
    <w:rsid w:val="009E2A2B"/>
    <w:rsid w:val="009E409A"/>
    <w:rsid w:val="00A0097B"/>
    <w:rsid w:val="00A05372"/>
    <w:rsid w:val="00A07015"/>
    <w:rsid w:val="00A2536D"/>
    <w:rsid w:val="00A3209A"/>
    <w:rsid w:val="00A33E76"/>
    <w:rsid w:val="00A36614"/>
    <w:rsid w:val="00A427F7"/>
    <w:rsid w:val="00A53A52"/>
    <w:rsid w:val="00A60921"/>
    <w:rsid w:val="00A61036"/>
    <w:rsid w:val="00A61814"/>
    <w:rsid w:val="00A63A6E"/>
    <w:rsid w:val="00A65976"/>
    <w:rsid w:val="00A71F2C"/>
    <w:rsid w:val="00A727EB"/>
    <w:rsid w:val="00A77C76"/>
    <w:rsid w:val="00A835CA"/>
    <w:rsid w:val="00A87455"/>
    <w:rsid w:val="00A90019"/>
    <w:rsid w:val="00A968F6"/>
    <w:rsid w:val="00A97046"/>
    <w:rsid w:val="00A97B96"/>
    <w:rsid w:val="00AA5E5C"/>
    <w:rsid w:val="00AA71B3"/>
    <w:rsid w:val="00AA7BD8"/>
    <w:rsid w:val="00AB0838"/>
    <w:rsid w:val="00AB23CB"/>
    <w:rsid w:val="00AB6D39"/>
    <w:rsid w:val="00AB79E7"/>
    <w:rsid w:val="00AC3D6D"/>
    <w:rsid w:val="00AC4A91"/>
    <w:rsid w:val="00AE10DB"/>
    <w:rsid w:val="00AE533A"/>
    <w:rsid w:val="00AF20BF"/>
    <w:rsid w:val="00AF3998"/>
    <w:rsid w:val="00AF56A9"/>
    <w:rsid w:val="00B0030A"/>
    <w:rsid w:val="00B037FA"/>
    <w:rsid w:val="00B12BAB"/>
    <w:rsid w:val="00B1469C"/>
    <w:rsid w:val="00B15C7A"/>
    <w:rsid w:val="00B16BB5"/>
    <w:rsid w:val="00B215C3"/>
    <w:rsid w:val="00B21752"/>
    <w:rsid w:val="00B31305"/>
    <w:rsid w:val="00B35E69"/>
    <w:rsid w:val="00B40AB3"/>
    <w:rsid w:val="00B42A64"/>
    <w:rsid w:val="00B45668"/>
    <w:rsid w:val="00B46677"/>
    <w:rsid w:val="00B5180C"/>
    <w:rsid w:val="00B536F2"/>
    <w:rsid w:val="00B53F7E"/>
    <w:rsid w:val="00B55214"/>
    <w:rsid w:val="00B624DF"/>
    <w:rsid w:val="00B63D61"/>
    <w:rsid w:val="00B64F49"/>
    <w:rsid w:val="00B80DE0"/>
    <w:rsid w:val="00B81515"/>
    <w:rsid w:val="00B85D57"/>
    <w:rsid w:val="00B92B2A"/>
    <w:rsid w:val="00B94623"/>
    <w:rsid w:val="00B94AA0"/>
    <w:rsid w:val="00B95F09"/>
    <w:rsid w:val="00BA415B"/>
    <w:rsid w:val="00BB3DAA"/>
    <w:rsid w:val="00BB760B"/>
    <w:rsid w:val="00BC0970"/>
    <w:rsid w:val="00BC16C0"/>
    <w:rsid w:val="00BC4571"/>
    <w:rsid w:val="00BC79BE"/>
    <w:rsid w:val="00BD282D"/>
    <w:rsid w:val="00BD3E89"/>
    <w:rsid w:val="00BD5009"/>
    <w:rsid w:val="00BE2529"/>
    <w:rsid w:val="00BF191C"/>
    <w:rsid w:val="00BF31C3"/>
    <w:rsid w:val="00BF56D8"/>
    <w:rsid w:val="00C00FDF"/>
    <w:rsid w:val="00C26B0D"/>
    <w:rsid w:val="00C26F59"/>
    <w:rsid w:val="00C31426"/>
    <w:rsid w:val="00C34D67"/>
    <w:rsid w:val="00C36445"/>
    <w:rsid w:val="00C40975"/>
    <w:rsid w:val="00C54F56"/>
    <w:rsid w:val="00C62581"/>
    <w:rsid w:val="00C71095"/>
    <w:rsid w:val="00C75313"/>
    <w:rsid w:val="00C75B15"/>
    <w:rsid w:val="00C7691F"/>
    <w:rsid w:val="00C817F9"/>
    <w:rsid w:val="00C82C86"/>
    <w:rsid w:val="00C8302B"/>
    <w:rsid w:val="00C923BF"/>
    <w:rsid w:val="00C927E1"/>
    <w:rsid w:val="00C93991"/>
    <w:rsid w:val="00CA6656"/>
    <w:rsid w:val="00CA6916"/>
    <w:rsid w:val="00CA7EA8"/>
    <w:rsid w:val="00CB5838"/>
    <w:rsid w:val="00CB5912"/>
    <w:rsid w:val="00CB67D2"/>
    <w:rsid w:val="00CC1857"/>
    <w:rsid w:val="00CC358F"/>
    <w:rsid w:val="00CC3894"/>
    <w:rsid w:val="00CC4C50"/>
    <w:rsid w:val="00CC5361"/>
    <w:rsid w:val="00CE09E0"/>
    <w:rsid w:val="00CE29D2"/>
    <w:rsid w:val="00CE6E0C"/>
    <w:rsid w:val="00CF7E32"/>
    <w:rsid w:val="00D0431C"/>
    <w:rsid w:val="00D15C58"/>
    <w:rsid w:val="00D23250"/>
    <w:rsid w:val="00D24A4F"/>
    <w:rsid w:val="00D27014"/>
    <w:rsid w:val="00D40A36"/>
    <w:rsid w:val="00D43932"/>
    <w:rsid w:val="00D43CD4"/>
    <w:rsid w:val="00D53239"/>
    <w:rsid w:val="00D53F63"/>
    <w:rsid w:val="00D6320F"/>
    <w:rsid w:val="00D66C30"/>
    <w:rsid w:val="00D74AFD"/>
    <w:rsid w:val="00D760E7"/>
    <w:rsid w:val="00D76931"/>
    <w:rsid w:val="00D81278"/>
    <w:rsid w:val="00D812B7"/>
    <w:rsid w:val="00D821DB"/>
    <w:rsid w:val="00D83A44"/>
    <w:rsid w:val="00D87480"/>
    <w:rsid w:val="00D94C10"/>
    <w:rsid w:val="00DA5E95"/>
    <w:rsid w:val="00DB0714"/>
    <w:rsid w:val="00DB4BE9"/>
    <w:rsid w:val="00DB4D9E"/>
    <w:rsid w:val="00DB4FE9"/>
    <w:rsid w:val="00DB63F4"/>
    <w:rsid w:val="00DB6BF4"/>
    <w:rsid w:val="00DB6F41"/>
    <w:rsid w:val="00DC175E"/>
    <w:rsid w:val="00DD4EE1"/>
    <w:rsid w:val="00DE1121"/>
    <w:rsid w:val="00DE38B9"/>
    <w:rsid w:val="00DE4DCC"/>
    <w:rsid w:val="00DF0744"/>
    <w:rsid w:val="00DF2384"/>
    <w:rsid w:val="00DF3473"/>
    <w:rsid w:val="00DF74B6"/>
    <w:rsid w:val="00DF7B7B"/>
    <w:rsid w:val="00E05A1D"/>
    <w:rsid w:val="00E11162"/>
    <w:rsid w:val="00E13C9F"/>
    <w:rsid w:val="00E175AC"/>
    <w:rsid w:val="00E30F9B"/>
    <w:rsid w:val="00E32847"/>
    <w:rsid w:val="00E32A65"/>
    <w:rsid w:val="00E34AA3"/>
    <w:rsid w:val="00E36F67"/>
    <w:rsid w:val="00E37562"/>
    <w:rsid w:val="00E37B8E"/>
    <w:rsid w:val="00E4232E"/>
    <w:rsid w:val="00E42E62"/>
    <w:rsid w:val="00E45B74"/>
    <w:rsid w:val="00E45B9F"/>
    <w:rsid w:val="00E5401D"/>
    <w:rsid w:val="00E55C29"/>
    <w:rsid w:val="00E56300"/>
    <w:rsid w:val="00E62D78"/>
    <w:rsid w:val="00E66B57"/>
    <w:rsid w:val="00E719E0"/>
    <w:rsid w:val="00E74151"/>
    <w:rsid w:val="00E814BE"/>
    <w:rsid w:val="00E81E83"/>
    <w:rsid w:val="00E8415D"/>
    <w:rsid w:val="00E86F4F"/>
    <w:rsid w:val="00E877F3"/>
    <w:rsid w:val="00EA05A5"/>
    <w:rsid w:val="00EA56F1"/>
    <w:rsid w:val="00EA77EE"/>
    <w:rsid w:val="00EB3FB3"/>
    <w:rsid w:val="00EB5B2E"/>
    <w:rsid w:val="00EB6473"/>
    <w:rsid w:val="00EC4574"/>
    <w:rsid w:val="00ED084F"/>
    <w:rsid w:val="00ED7A81"/>
    <w:rsid w:val="00EE198A"/>
    <w:rsid w:val="00EE1FF3"/>
    <w:rsid w:val="00EE6021"/>
    <w:rsid w:val="00EF3BEA"/>
    <w:rsid w:val="00EF53E0"/>
    <w:rsid w:val="00EF5D5A"/>
    <w:rsid w:val="00F00487"/>
    <w:rsid w:val="00F01FCF"/>
    <w:rsid w:val="00F02180"/>
    <w:rsid w:val="00F02FF8"/>
    <w:rsid w:val="00F07B98"/>
    <w:rsid w:val="00F12A4A"/>
    <w:rsid w:val="00F17EE0"/>
    <w:rsid w:val="00F244E1"/>
    <w:rsid w:val="00F2748B"/>
    <w:rsid w:val="00F27EE3"/>
    <w:rsid w:val="00F3296B"/>
    <w:rsid w:val="00F34E55"/>
    <w:rsid w:val="00F4718B"/>
    <w:rsid w:val="00F50621"/>
    <w:rsid w:val="00F57EB3"/>
    <w:rsid w:val="00F70F19"/>
    <w:rsid w:val="00F72D34"/>
    <w:rsid w:val="00F80570"/>
    <w:rsid w:val="00F95C68"/>
    <w:rsid w:val="00FA31BD"/>
    <w:rsid w:val="00FA6154"/>
    <w:rsid w:val="00FA6F3C"/>
    <w:rsid w:val="00FB09F3"/>
    <w:rsid w:val="00FB1146"/>
    <w:rsid w:val="00FB5ACE"/>
    <w:rsid w:val="00FB7CDF"/>
    <w:rsid w:val="00FC09C7"/>
    <w:rsid w:val="00FC28CC"/>
    <w:rsid w:val="00FD1BE0"/>
    <w:rsid w:val="00FD3D9B"/>
    <w:rsid w:val="00FD3E07"/>
    <w:rsid w:val="00FD5491"/>
    <w:rsid w:val="00FE290F"/>
    <w:rsid w:val="00FE3246"/>
    <w:rsid w:val="00FF24E6"/>
    <w:rsid w:val="00FF3320"/>
    <w:rsid w:val="01E07061"/>
    <w:rsid w:val="01F70B17"/>
    <w:rsid w:val="02307A3F"/>
    <w:rsid w:val="02B91AD3"/>
    <w:rsid w:val="0A001E7A"/>
    <w:rsid w:val="0AB60FB5"/>
    <w:rsid w:val="0B2F2BA8"/>
    <w:rsid w:val="0BCF2A6C"/>
    <w:rsid w:val="0DB56352"/>
    <w:rsid w:val="0EF11A35"/>
    <w:rsid w:val="10084370"/>
    <w:rsid w:val="114941E0"/>
    <w:rsid w:val="148F1EA8"/>
    <w:rsid w:val="161D70A5"/>
    <w:rsid w:val="175F16BB"/>
    <w:rsid w:val="18F91014"/>
    <w:rsid w:val="19D367B9"/>
    <w:rsid w:val="1A0A24A8"/>
    <w:rsid w:val="1A516A99"/>
    <w:rsid w:val="1BD21109"/>
    <w:rsid w:val="1BEC7185"/>
    <w:rsid w:val="20A84AA1"/>
    <w:rsid w:val="235504E2"/>
    <w:rsid w:val="26412B24"/>
    <w:rsid w:val="2BB15D1B"/>
    <w:rsid w:val="2BF6351F"/>
    <w:rsid w:val="2DCD44BB"/>
    <w:rsid w:val="2EBE7E0B"/>
    <w:rsid w:val="2EF5022F"/>
    <w:rsid w:val="2F3E6CC8"/>
    <w:rsid w:val="2F5A576A"/>
    <w:rsid w:val="2F674E27"/>
    <w:rsid w:val="32940DED"/>
    <w:rsid w:val="32952920"/>
    <w:rsid w:val="34B3171A"/>
    <w:rsid w:val="351E5856"/>
    <w:rsid w:val="36283154"/>
    <w:rsid w:val="367C7E17"/>
    <w:rsid w:val="36E46EC9"/>
    <w:rsid w:val="37457D6A"/>
    <w:rsid w:val="386D4494"/>
    <w:rsid w:val="3F21499A"/>
    <w:rsid w:val="411360A6"/>
    <w:rsid w:val="414570CA"/>
    <w:rsid w:val="45546E63"/>
    <w:rsid w:val="4815312E"/>
    <w:rsid w:val="48EB66B9"/>
    <w:rsid w:val="495D69E8"/>
    <w:rsid w:val="504117AF"/>
    <w:rsid w:val="50695183"/>
    <w:rsid w:val="50790047"/>
    <w:rsid w:val="50CE3CB4"/>
    <w:rsid w:val="53675F01"/>
    <w:rsid w:val="548308B9"/>
    <w:rsid w:val="54A8124B"/>
    <w:rsid w:val="570A04D5"/>
    <w:rsid w:val="57802852"/>
    <w:rsid w:val="58F11593"/>
    <w:rsid w:val="59257792"/>
    <w:rsid w:val="5A704587"/>
    <w:rsid w:val="5AE20674"/>
    <w:rsid w:val="5DA3093C"/>
    <w:rsid w:val="65267FD3"/>
    <w:rsid w:val="66CC3B15"/>
    <w:rsid w:val="6B805945"/>
    <w:rsid w:val="6CCF319B"/>
    <w:rsid w:val="6EDE5E89"/>
    <w:rsid w:val="6FDF4FEA"/>
    <w:rsid w:val="715712D6"/>
    <w:rsid w:val="71AD0583"/>
    <w:rsid w:val="73874785"/>
    <w:rsid w:val="781850A8"/>
    <w:rsid w:val="7C1B3DF8"/>
    <w:rsid w:val="7E8E0F3E"/>
    <w:rsid w:val="7ED3400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99"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25"/>
    <w:qFormat/>
    <w:uiPriority w:val="0"/>
    <w:pPr>
      <w:keepNext/>
      <w:keepLines/>
      <w:spacing w:before="340" w:after="330" w:line="578" w:lineRule="auto"/>
      <w:outlineLvl w:val="0"/>
    </w:pPr>
    <w:rPr>
      <w:rFonts w:asciiTheme="minorHAnsi" w:hAnsiTheme="minorHAnsi" w:eastAsiaTheme="minorEastAsia" w:cstheme="minorBidi"/>
      <w:b/>
      <w:bCs/>
      <w:kern w:val="44"/>
      <w:sz w:val="44"/>
      <w:szCs w:val="44"/>
    </w:rPr>
  </w:style>
  <w:style w:type="paragraph" w:styleId="2">
    <w:name w:val="heading 2"/>
    <w:basedOn w:val="1"/>
    <w:next w:val="1"/>
    <w:link w:val="21"/>
    <w:qFormat/>
    <w:uiPriority w:val="0"/>
    <w:pPr>
      <w:keepNext/>
      <w:keepLines/>
      <w:spacing w:before="260" w:after="260" w:line="416" w:lineRule="auto"/>
      <w:outlineLvl w:val="1"/>
    </w:pPr>
    <w:rPr>
      <w:rFonts w:cs="Calibri"/>
      <w:b/>
      <w:bCs/>
      <w:sz w:val="32"/>
      <w:szCs w:val="32"/>
    </w:rPr>
  </w:style>
  <w:style w:type="paragraph" w:styleId="4">
    <w:name w:val="heading 3"/>
    <w:basedOn w:val="1"/>
    <w:next w:val="1"/>
    <w:link w:val="23"/>
    <w:qFormat/>
    <w:uiPriority w:val="0"/>
    <w:pPr>
      <w:keepNext/>
      <w:keepLines/>
      <w:spacing w:before="260" w:after="260" w:line="416" w:lineRule="auto"/>
      <w:outlineLvl w:val="2"/>
    </w:pPr>
    <w:rPr>
      <w:rFonts w:ascii="Times New Roman" w:hAnsi="Times New Roman"/>
      <w:b/>
      <w:bCs/>
      <w:sz w:val="32"/>
      <w:szCs w:val="32"/>
    </w:rPr>
  </w:style>
  <w:style w:type="character" w:default="1" w:styleId="14">
    <w:name w:val="Default Paragraph Font"/>
    <w:semiHidden/>
    <w:unhideWhenUsed/>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2"/>
    <w:unhideWhenUsed/>
    <w:qFormat/>
    <w:uiPriority w:val="99"/>
    <w:pPr>
      <w:jc w:val="left"/>
    </w:pPr>
    <w:rPr>
      <w:rFonts w:asciiTheme="minorHAnsi" w:hAnsiTheme="minorHAnsi" w:eastAsiaTheme="minorEastAsia" w:cstheme="minorBidi"/>
    </w:rPr>
  </w:style>
  <w:style w:type="paragraph" w:styleId="6">
    <w:name w:val="Balloon Text"/>
    <w:basedOn w:val="1"/>
    <w:link w:val="24"/>
    <w:qFormat/>
    <w:uiPriority w:val="0"/>
    <w:rPr>
      <w:sz w:val="18"/>
      <w:szCs w:val="18"/>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9">
    <w:name w:val="Normal (Web)"/>
    <w:basedOn w:val="1"/>
    <w:qFormat/>
    <w:uiPriority w:val="0"/>
    <w:pPr>
      <w:spacing w:beforeAutospacing="1" w:afterAutospacing="1"/>
      <w:jc w:val="left"/>
    </w:pPr>
    <w:rPr>
      <w:rFonts w:asciiTheme="minorHAnsi" w:hAnsiTheme="minorHAnsi" w:eastAsiaTheme="minorEastAsia"/>
      <w:color w:val="282828"/>
      <w:kern w:val="0"/>
      <w:sz w:val="24"/>
      <w:szCs w:val="24"/>
    </w:rPr>
  </w:style>
  <w:style w:type="paragraph" w:styleId="10">
    <w:name w:val="Title"/>
    <w:basedOn w:val="1"/>
    <w:next w:val="1"/>
    <w:link w:val="20"/>
    <w:qFormat/>
    <w:uiPriority w:val="0"/>
    <w:pPr>
      <w:spacing w:before="240" w:after="60"/>
      <w:jc w:val="center"/>
      <w:outlineLvl w:val="0"/>
    </w:pPr>
    <w:rPr>
      <w:rFonts w:asciiTheme="majorHAnsi" w:hAnsiTheme="majorHAnsi" w:cstheme="majorBidi"/>
      <w:b/>
      <w:bCs/>
      <w:sz w:val="32"/>
      <w:szCs w:val="32"/>
    </w:rPr>
  </w:style>
  <w:style w:type="paragraph" w:styleId="11">
    <w:name w:val="annotation subject"/>
    <w:basedOn w:val="5"/>
    <w:next w:val="5"/>
    <w:link w:val="26"/>
    <w:qFormat/>
    <w:uiPriority w:val="0"/>
    <w:rPr>
      <w:rFonts w:ascii="Calibri" w:hAnsi="Calibri" w:eastAsia="宋体" w:cs="Times New Roman"/>
      <w:b/>
      <w:bCs/>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rPr>
  </w:style>
  <w:style w:type="character" w:styleId="16">
    <w:name w:val="FollowedHyperlink"/>
    <w:basedOn w:val="14"/>
    <w:qFormat/>
    <w:uiPriority w:val="0"/>
    <w:rPr>
      <w:color w:val="000000"/>
      <w:u w:val="none"/>
    </w:rPr>
  </w:style>
  <w:style w:type="character" w:styleId="17">
    <w:name w:val="Emphasis"/>
    <w:basedOn w:val="14"/>
    <w:qFormat/>
    <w:uiPriority w:val="0"/>
  </w:style>
  <w:style w:type="character" w:styleId="18">
    <w:name w:val="Hyperlink"/>
    <w:basedOn w:val="14"/>
    <w:unhideWhenUsed/>
    <w:qFormat/>
    <w:uiPriority w:val="99"/>
    <w:rPr>
      <w:color w:val="0000FF"/>
      <w:u w:val="single"/>
    </w:rPr>
  </w:style>
  <w:style w:type="character" w:styleId="19">
    <w:name w:val="annotation reference"/>
    <w:basedOn w:val="14"/>
    <w:qFormat/>
    <w:uiPriority w:val="0"/>
    <w:rPr>
      <w:sz w:val="21"/>
      <w:szCs w:val="21"/>
    </w:rPr>
  </w:style>
  <w:style w:type="character" w:customStyle="1" w:styleId="20">
    <w:name w:val="标题 Char"/>
    <w:basedOn w:val="14"/>
    <w:link w:val="10"/>
    <w:qFormat/>
    <w:uiPriority w:val="0"/>
    <w:rPr>
      <w:rFonts w:eastAsia="宋体" w:asciiTheme="majorHAnsi" w:hAnsiTheme="majorHAnsi" w:cstheme="majorBidi"/>
      <w:b/>
      <w:bCs/>
      <w:kern w:val="2"/>
      <w:sz w:val="32"/>
      <w:szCs w:val="32"/>
    </w:rPr>
  </w:style>
  <w:style w:type="character" w:customStyle="1" w:styleId="21">
    <w:name w:val="标题 2 Char"/>
    <w:basedOn w:val="14"/>
    <w:link w:val="2"/>
    <w:qFormat/>
    <w:uiPriority w:val="0"/>
    <w:rPr>
      <w:rFonts w:ascii="Calibri" w:hAnsi="Calibri" w:eastAsia="宋体" w:cs="Calibri"/>
      <w:b/>
      <w:bCs/>
      <w:kern w:val="2"/>
      <w:sz w:val="32"/>
      <w:szCs w:val="32"/>
    </w:rPr>
  </w:style>
  <w:style w:type="character" w:customStyle="1" w:styleId="22">
    <w:name w:val="批注文字 Char"/>
    <w:basedOn w:val="14"/>
    <w:link w:val="5"/>
    <w:qFormat/>
    <w:uiPriority w:val="99"/>
    <w:rPr>
      <w:kern w:val="2"/>
      <w:sz w:val="21"/>
      <w:szCs w:val="22"/>
    </w:rPr>
  </w:style>
  <w:style w:type="character" w:customStyle="1" w:styleId="23">
    <w:name w:val="标题 3 Char"/>
    <w:basedOn w:val="14"/>
    <w:link w:val="4"/>
    <w:qFormat/>
    <w:uiPriority w:val="0"/>
    <w:rPr>
      <w:rFonts w:ascii="Times New Roman" w:hAnsi="Times New Roman" w:eastAsia="宋体" w:cs="Times New Roman"/>
      <w:b/>
      <w:bCs/>
      <w:kern w:val="2"/>
      <w:sz w:val="32"/>
      <w:szCs w:val="32"/>
    </w:rPr>
  </w:style>
  <w:style w:type="character" w:customStyle="1" w:styleId="24">
    <w:name w:val="批注框文本 Char"/>
    <w:basedOn w:val="14"/>
    <w:link w:val="6"/>
    <w:qFormat/>
    <w:uiPriority w:val="0"/>
    <w:rPr>
      <w:rFonts w:ascii="Calibri" w:hAnsi="Calibri" w:eastAsia="宋体" w:cs="Times New Roman"/>
      <w:kern w:val="2"/>
      <w:sz w:val="18"/>
      <w:szCs w:val="18"/>
    </w:rPr>
  </w:style>
  <w:style w:type="character" w:customStyle="1" w:styleId="25">
    <w:name w:val="标题 1 Char"/>
    <w:basedOn w:val="14"/>
    <w:link w:val="3"/>
    <w:qFormat/>
    <w:uiPriority w:val="0"/>
    <w:rPr>
      <w:b/>
      <w:bCs/>
      <w:kern w:val="44"/>
      <w:sz w:val="44"/>
      <w:szCs w:val="44"/>
    </w:rPr>
  </w:style>
  <w:style w:type="character" w:customStyle="1" w:styleId="26">
    <w:name w:val="批注主题 Char"/>
    <w:basedOn w:val="22"/>
    <w:link w:val="11"/>
    <w:qFormat/>
    <w:uiPriority w:val="0"/>
    <w:rPr>
      <w:b/>
      <w:bCs/>
      <w:kern w:val="2"/>
      <w:sz w:val="21"/>
      <w:szCs w:val="22"/>
    </w:rPr>
  </w:style>
  <w:style w:type="character" w:customStyle="1" w:styleId="27">
    <w:name w:val="hover7"/>
    <w:basedOn w:val="14"/>
    <w:qFormat/>
    <w:uiPriority w:val="0"/>
  </w:style>
  <w:style w:type="character" w:customStyle="1" w:styleId="28">
    <w:name w:val="hover5"/>
    <w:basedOn w:val="14"/>
    <w:qFormat/>
    <w:uiPriority w:val="0"/>
  </w:style>
  <w:style w:type="character" w:customStyle="1" w:styleId="29">
    <w:name w:val="hover6"/>
    <w:basedOn w:val="14"/>
    <w:qFormat/>
    <w:uiPriority w:val="0"/>
  </w:style>
  <w:style w:type="character" w:customStyle="1" w:styleId="30">
    <w:name w:val="hover"/>
    <w:basedOn w:val="14"/>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4" Type="http://schemas.openxmlformats.org/officeDocument/2006/relationships/font" Target="fonts/font24.odttf"/><Relationship Id="rId23" Type="http://schemas.openxmlformats.org/officeDocument/2006/relationships/font" Target="fonts/font23.odttf"/><Relationship Id="rId22" Type="http://schemas.openxmlformats.org/officeDocument/2006/relationships/font" Target="fonts/font22.odttf"/><Relationship Id="rId21" Type="http://schemas.openxmlformats.org/officeDocument/2006/relationships/font" Target="fonts/font21.odttf"/><Relationship Id="rId20" Type="http://schemas.openxmlformats.org/officeDocument/2006/relationships/font" Target="fonts/font20.odttf"/><Relationship Id="rId2" Type="http://schemas.openxmlformats.org/officeDocument/2006/relationships/font" Target="fonts/font2.odttf"/><Relationship Id="rId19" Type="http://schemas.openxmlformats.org/officeDocument/2006/relationships/font" Target="fonts/font19.odttf"/><Relationship Id="rId18" Type="http://schemas.openxmlformats.org/officeDocument/2006/relationships/font" Target="fonts/font18.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009091E-714F-482F-959E-0361C52C0D43}">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13</Pages>
  <Words>1306</Words>
  <Characters>7448</Characters>
  <Lines>62</Lines>
  <Paragraphs>17</Paragraphs>
  <TotalTime>39</TotalTime>
  <ScaleCrop>false</ScaleCrop>
  <LinksUpToDate>false</LinksUpToDate>
  <CharactersWithSpaces>8737</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2020-06-27T08:50:00Z</dcterms:created>
  <dc:creator>DELL</dc:creator>
  <cp:lastModifiedBy>Administrator</cp:lastModifiedBy>
  <cp:lastPrinted>2020-04-23T06:28:00Z</cp:lastPrinted>
  <dcterms:modified xsi:type="dcterms:W3CDTF">2020-07-14T00:19:28Z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